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r>
        <w:rPr>
          <w:rFonts w:hint="eastAsia" w:ascii="黑体" w:hAnsi="黑体" w:eastAsia="黑体" w:cs="黑体"/>
          <w:sz w:val="52"/>
          <w:szCs w:val="52"/>
        </w:rPr>
        <w:t>中等职业学校教育质量年度报告</w:t>
      </w:r>
    </w:p>
    <w:p>
      <w:pPr>
        <w:spacing w:line="360" w:lineRule="auto"/>
        <w:ind w:firstLine="3380" w:firstLineChars="650"/>
        <w:rPr>
          <w:rFonts w:ascii="黑体" w:hAnsi="黑体" w:eastAsia="黑体" w:cs="黑体"/>
          <w:sz w:val="52"/>
          <w:szCs w:val="52"/>
        </w:rPr>
      </w:pPr>
      <w:r>
        <w:rPr>
          <w:rFonts w:hint="eastAsia" w:ascii="黑体" w:hAnsi="黑体" w:eastAsia="黑体" w:cs="黑体"/>
          <w:sz w:val="52"/>
          <w:szCs w:val="52"/>
        </w:rPr>
        <w:t>(201</w:t>
      </w:r>
      <w:r>
        <w:rPr>
          <w:rFonts w:hint="eastAsia" w:ascii="黑体" w:hAnsi="黑体" w:eastAsia="黑体" w:cs="黑体"/>
          <w:sz w:val="52"/>
          <w:szCs w:val="52"/>
          <w:lang w:val="en-US" w:eastAsia="zh-CN"/>
        </w:rPr>
        <w:t>9</w:t>
      </w:r>
      <w:r>
        <w:rPr>
          <w:rFonts w:hint="eastAsia" w:ascii="黑体" w:hAnsi="黑体" w:eastAsia="黑体" w:cs="黑体"/>
          <w:sz w:val="52"/>
          <w:szCs w:val="52"/>
        </w:rPr>
        <w:t>)</w:t>
      </w:r>
    </w:p>
    <w:p>
      <w:pPr>
        <w:pStyle w:val="11"/>
        <w:spacing w:beforeAutospacing="0" w:afterAutospacing="0" w:line="360" w:lineRule="auto"/>
        <w:ind w:firstLine="420"/>
        <w:jc w:val="center"/>
        <w:rPr>
          <w:rFonts w:ascii="宋体" w:hAnsi="宋体" w:cs="宋体"/>
          <w:color w:val="000000"/>
        </w:rPr>
      </w:pPr>
    </w:p>
    <w:p>
      <w:pPr>
        <w:pStyle w:val="11"/>
        <w:spacing w:line="360" w:lineRule="auto"/>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rPr>
      </w:pPr>
    </w:p>
    <w:p>
      <w:pPr>
        <w:pStyle w:val="11"/>
        <w:spacing w:line="440" w:lineRule="exact"/>
        <w:ind w:firstLine="420"/>
        <w:jc w:val="center"/>
        <w:rPr>
          <w:rFonts w:ascii="宋体" w:hAnsi="宋体" w:cs="宋体"/>
          <w:color w:val="000000"/>
          <w:sz w:val="44"/>
          <w:szCs w:val="44"/>
        </w:rPr>
      </w:pPr>
    </w:p>
    <w:p>
      <w:pPr>
        <w:pStyle w:val="11"/>
        <w:spacing w:line="440" w:lineRule="exact"/>
        <w:ind w:firstLine="420"/>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内蒙古杨氏中等职业学校</w:t>
      </w:r>
    </w:p>
    <w:p>
      <w:pPr>
        <w:pStyle w:val="11"/>
        <w:spacing w:line="440" w:lineRule="exact"/>
        <w:ind w:firstLine="420"/>
        <w:jc w:val="center"/>
        <w:rPr>
          <w:rFonts w:ascii="黑体" w:hAnsi="黑体" w:eastAsia="黑体" w:cs="黑体"/>
          <w:color w:val="000000"/>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w:t>
      </w:r>
      <w:r>
        <w:rPr>
          <w:rFonts w:hint="eastAsia" w:ascii="黑体" w:hAnsi="黑体" w:eastAsia="黑体" w:cs="黑体"/>
          <w:sz w:val="44"/>
          <w:szCs w:val="44"/>
          <w:lang w:val="en-US" w:eastAsia="zh-CN"/>
        </w:rPr>
        <w:t>3</w:t>
      </w:r>
      <w:r>
        <w:rPr>
          <w:rFonts w:hint="eastAsia" w:ascii="黑体" w:hAnsi="黑体" w:eastAsia="黑体" w:cs="黑体"/>
          <w:sz w:val="44"/>
          <w:szCs w:val="44"/>
        </w:rPr>
        <w:t>月</w:t>
      </w:r>
    </w:p>
    <w:p>
      <w:pPr>
        <w:spacing w:line="440" w:lineRule="exact"/>
        <w:jc w:val="center"/>
        <w:rPr>
          <w:rFonts w:ascii="宋体" w:hAnsi="宋体"/>
        </w:rPr>
        <w:sectPr>
          <w:headerReference r:id="rId3" w:type="default"/>
          <w:footerReference r:id="rId4" w:type="default"/>
          <w:pgSz w:w="11906" w:h="16838"/>
          <w:pgMar w:top="1701" w:right="1417" w:bottom="1417" w:left="1701" w:header="851" w:footer="992" w:gutter="0"/>
          <w:cols w:space="0" w:num="1"/>
          <w:docGrid w:type="lines" w:linePitch="312" w:charSpace="0"/>
        </w:sectPr>
      </w:pPr>
      <w:bookmarkStart w:id="0" w:name="_Toc1101"/>
    </w:p>
    <w:p>
      <w:pPr>
        <w:pStyle w:val="2"/>
        <w:jc w:val="center"/>
      </w:pPr>
      <w:r>
        <w:rPr>
          <w:rFonts w:hint="eastAsia"/>
        </w:rPr>
        <w:t>报告目录</w:t>
      </w:r>
    </w:p>
    <w:p/>
    <w:p>
      <w:pPr>
        <w:pStyle w:val="9"/>
        <w:tabs>
          <w:tab w:val="right" w:leader="dot" w:pos="8788"/>
        </w:tabs>
        <w:rPr>
          <w:rFonts w:ascii="黑体" w:hAnsi="黑体" w:eastAsia="黑体" w:cs="黑体"/>
        </w:rPr>
      </w:pPr>
    </w:p>
    <w:p>
      <w:pPr>
        <w:pStyle w:val="9"/>
        <w:tabs>
          <w:tab w:val="right" w:leader="dot" w:pos="8788"/>
        </w:tabs>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TOC \o "1-3" \h \u </w:instrText>
      </w:r>
      <w:r>
        <w:rPr>
          <w:rFonts w:hint="eastAsia" w:ascii="黑体" w:hAnsi="黑体" w:eastAsia="黑体" w:cs="黑体"/>
        </w:rPr>
        <w:fldChar w:fldCharType="separate"/>
      </w:r>
      <w:r>
        <w:fldChar w:fldCharType="begin"/>
      </w:r>
      <w:r>
        <w:instrText xml:space="preserve"> HYPERLINK \l "_Toc18684" </w:instrText>
      </w:r>
      <w:r>
        <w:fldChar w:fldCharType="separate"/>
      </w:r>
      <w:r>
        <w:rPr>
          <w:rFonts w:hint="eastAsia" w:ascii="黑体" w:hAnsi="黑体" w:eastAsia="黑体" w:cs="黑体"/>
          <w:b/>
          <w:bCs/>
        </w:rPr>
        <w:t>1. 学校情况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_Toc18684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"_Toc11171" </w:instrText>
      </w:r>
      <w:r>
        <w:fldChar w:fldCharType="separate"/>
      </w:r>
      <w:r>
        <w:rPr>
          <w:rFonts w:hint="eastAsia" w:ascii="黑体" w:hAnsi="黑体" w:eastAsia="黑体" w:cs="黑体"/>
        </w:rPr>
        <w:t>1.1学校概况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_Toc11171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"_Toc28705" </w:instrText>
      </w:r>
      <w:r>
        <w:fldChar w:fldCharType="separate"/>
      </w:r>
      <w:r>
        <w:rPr>
          <w:rFonts w:hint="eastAsia" w:ascii="黑体" w:hAnsi="黑体" w:eastAsia="黑体" w:cs="黑体"/>
        </w:rPr>
        <w:t>1.2学生情况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_Toc28705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"_Toc7869" </w:instrText>
      </w:r>
      <w:r>
        <w:fldChar w:fldCharType="separate"/>
      </w:r>
      <w:r>
        <w:rPr>
          <w:rFonts w:hint="eastAsia" w:ascii="黑体" w:hAnsi="黑体" w:eastAsia="黑体" w:cs="黑体"/>
        </w:rPr>
        <w:t>1.3教师队伍</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_Toc7869 </w:instrText>
      </w:r>
      <w:r>
        <w:rPr>
          <w:rFonts w:hint="eastAsia" w:ascii="黑体" w:hAnsi="黑体" w:eastAsia="黑体" w:cs="黑体"/>
        </w:rPr>
        <w:fldChar w:fldCharType="separate"/>
      </w:r>
      <w:r>
        <w:rPr>
          <w:rFonts w:ascii="黑体" w:hAnsi="黑体" w:eastAsia="黑体" w:cs="黑体"/>
        </w:rPr>
        <w:t>1</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"_Toc517" </w:instrText>
      </w:r>
      <w:r>
        <w:fldChar w:fldCharType="separate"/>
      </w:r>
      <w:r>
        <w:rPr>
          <w:rFonts w:hint="eastAsia" w:ascii="黑体" w:hAnsi="黑体" w:eastAsia="黑体" w:cs="黑体"/>
        </w:rPr>
        <w:t>1.4设施设备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_Toc517 </w:instrText>
      </w:r>
      <w:r>
        <w:rPr>
          <w:rFonts w:hint="eastAsia" w:ascii="黑体" w:hAnsi="黑体" w:eastAsia="黑体" w:cs="黑体"/>
        </w:rPr>
        <w:fldChar w:fldCharType="separate"/>
      </w:r>
      <w:r>
        <w:rPr>
          <w:rFonts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"_Toc709" </w:instrText>
      </w:r>
      <w:r>
        <w:fldChar w:fldCharType="separate"/>
      </w:r>
      <w:r>
        <w:rPr>
          <w:rFonts w:hint="eastAsia" w:ascii="黑体" w:hAnsi="黑体" w:eastAsia="黑体" w:cs="黑体"/>
        </w:rPr>
        <w:t>1.5校内信息化建设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_Toc709 </w:instrText>
      </w:r>
      <w:r>
        <w:rPr>
          <w:rFonts w:hint="eastAsia" w:ascii="黑体" w:hAnsi="黑体" w:eastAsia="黑体" w:cs="黑体"/>
        </w:rPr>
        <w:fldChar w:fldCharType="separate"/>
      </w:r>
      <w:r>
        <w:rPr>
          <w:rFonts w:ascii="黑体" w:hAnsi="黑体" w:eastAsia="黑体" w:cs="黑体"/>
        </w:rPr>
        <w:t>2</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"_Toc22766" </w:instrText>
      </w:r>
      <w:r>
        <w:fldChar w:fldCharType="separate"/>
      </w:r>
      <w:r>
        <w:rPr>
          <w:rFonts w:hint="eastAsia" w:ascii="黑体" w:hAnsi="黑体" w:eastAsia="黑体" w:cs="黑体"/>
        </w:rPr>
        <w:t>1.6校内实训基地建设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_Toc22766 </w:instrText>
      </w:r>
      <w:r>
        <w:rPr>
          <w:rFonts w:hint="eastAsia" w:ascii="黑体" w:hAnsi="黑体" w:eastAsia="黑体" w:cs="黑体"/>
        </w:rPr>
        <w:fldChar w:fldCharType="separate"/>
      </w:r>
      <w:r>
        <w:rPr>
          <w:rFonts w:ascii="黑体" w:hAnsi="黑体" w:eastAsia="黑体" w:cs="黑体"/>
        </w:rPr>
        <w:t>3</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"_Toc1197" </w:instrText>
      </w:r>
      <w:r>
        <w:fldChar w:fldCharType="separate"/>
      </w:r>
      <w:r>
        <w:rPr>
          <w:rFonts w:hint="eastAsia" w:ascii="黑体" w:hAnsi="黑体" w:eastAsia="黑体" w:cs="黑体"/>
          <w:b/>
          <w:bCs/>
        </w:rPr>
        <w:t>2. 学生素质</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_Toc1197 </w:instrText>
      </w:r>
      <w:r>
        <w:rPr>
          <w:rFonts w:hint="eastAsia" w:ascii="黑体" w:hAnsi="黑体" w:eastAsia="黑体" w:cs="黑体"/>
        </w:rPr>
        <w:fldChar w:fldCharType="separate"/>
      </w:r>
      <w:r>
        <w:rPr>
          <w:rFonts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"_Toc4207" </w:instrText>
      </w:r>
      <w:r>
        <w:fldChar w:fldCharType="separate"/>
      </w:r>
      <w:r>
        <w:rPr>
          <w:rFonts w:hint="eastAsia" w:ascii="黑体" w:hAnsi="黑体" w:eastAsia="黑体" w:cs="黑体"/>
        </w:rPr>
        <w:t>2.1学生素质调查</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_Toc4207 </w:instrText>
      </w:r>
      <w:r>
        <w:rPr>
          <w:rFonts w:hint="eastAsia" w:ascii="黑体" w:hAnsi="黑体" w:eastAsia="黑体" w:cs="黑体"/>
        </w:rPr>
        <w:fldChar w:fldCharType="separate"/>
      </w:r>
      <w:r>
        <w:rPr>
          <w:rFonts w:ascii="黑体" w:hAnsi="黑体" w:eastAsia="黑体" w:cs="黑体"/>
        </w:rPr>
        <w:t>4</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"_Toc13082" </w:instrText>
      </w:r>
      <w:r>
        <w:fldChar w:fldCharType="separate"/>
      </w:r>
      <w:r>
        <w:rPr>
          <w:rFonts w:hint="eastAsia" w:ascii="黑体" w:hAnsi="黑体" w:eastAsia="黑体" w:cs="黑体"/>
        </w:rPr>
        <w:t>2.2在校体验</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_Toc13082 </w:instrText>
      </w:r>
      <w:r>
        <w:rPr>
          <w:rFonts w:hint="eastAsia" w:ascii="黑体" w:hAnsi="黑体" w:eastAsia="黑体" w:cs="黑体"/>
        </w:rPr>
        <w:fldChar w:fldCharType="separate"/>
      </w:r>
      <w:r>
        <w:rPr>
          <w:rFonts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"_Toc24697" </w:instrText>
      </w:r>
      <w:r>
        <w:fldChar w:fldCharType="separate"/>
      </w:r>
      <w:r>
        <w:rPr>
          <w:rFonts w:hint="eastAsia" w:ascii="黑体" w:hAnsi="黑体" w:eastAsia="黑体" w:cs="黑体"/>
        </w:rPr>
        <w:t>2.3资助情况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_Toc24697 </w:instrText>
      </w:r>
      <w:r>
        <w:rPr>
          <w:rFonts w:hint="eastAsia" w:ascii="黑体" w:hAnsi="黑体" w:eastAsia="黑体" w:cs="黑体"/>
        </w:rPr>
        <w:fldChar w:fldCharType="separate"/>
      </w:r>
      <w:r>
        <w:rPr>
          <w:rFonts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"_Toc8875" </w:instrText>
      </w:r>
      <w:r>
        <w:fldChar w:fldCharType="separate"/>
      </w:r>
      <w:r>
        <w:rPr>
          <w:rFonts w:hint="eastAsia" w:ascii="黑体" w:hAnsi="黑体" w:eastAsia="黑体" w:cs="黑体"/>
        </w:rPr>
        <w:t>2.4就业质量</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_Toc8875 </w:instrText>
      </w:r>
      <w:r>
        <w:rPr>
          <w:rFonts w:hint="eastAsia" w:ascii="黑体" w:hAnsi="黑体" w:eastAsia="黑体" w:cs="黑体"/>
        </w:rPr>
        <w:fldChar w:fldCharType="separate"/>
      </w:r>
      <w:r>
        <w:rPr>
          <w:rFonts w:ascii="黑体" w:hAnsi="黑体" w:eastAsia="黑体" w:cs="黑体"/>
        </w:rPr>
        <w:t>5</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"_Toc7637" </w:instrText>
      </w:r>
      <w:r>
        <w:fldChar w:fldCharType="separate"/>
      </w:r>
      <w:r>
        <w:rPr>
          <w:rFonts w:hint="eastAsia" w:ascii="黑体" w:hAnsi="黑体" w:eastAsia="黑体" w:cs="黑体"/>
        </w:rPr>
        <w:t>2.5职业发展</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_Toc7637 </w:instrText>
      </w:r>
      <w:r>
        <w:rPr>
          <w:rFonts w:hint="eastAsia" w:ascii="黑体" w:hAnsi="黑体" w:eastAsia="黑体" w:cs="黑体"/>
        </w:rPr>
        <w:fldChar w:fldCharType="separate"/>
      </w:r>
      <w:r>
        <w:rPr>
          <w:rFonts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"_Toc17674" </w:instrText>
      </w:r>
      <w:r>
        <w:fldChar w:fldCharType="separate"/>
      </w:r>
      <w:r>
        <w:rPr>
          <w:rFonts w:hint="eastAsia" w:ascii="黑体" w:hAnsi="黑体" w:eastAsia="黑体" w:cs="黑体"/>
          <w:b/>
          <w:bCs/>
        </w:rPr>
        <w:t>3. 质量保障措施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_Toc17674 </w:instrText>
      </w:r>
      <w:r>
        <w:rPr>
          <w:rFonts w:hint="eastAsia" w:ascii="黑体" w:hAnsi="黑体" w:eastAsia="黑体" w:cs="黑体"/>
        </w:rPr>
        <w:fldChar w:fldCharType="separate"/>
      </w:r>
      <w:r>
        <w:rPr>
          <w:rFonts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"_Toc11135" </w:instrText>
      </w:r>
      <w:r>
        <w:fldChar w:fldCharType="separate"/>
      </w:r>
      <w:r>
        <w:rPr>
          <w:rFonts w:hint="eastAsia" w:ascii="黑体" w:hAnsi="黑体" w:eastAsia="黑体" w:cs="黑体"/>
        </w:rPr>
        <w:t>3.1专业动态调整</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_Toc11135 </w:instrText>
      </w:r>
      <w:r>
        <w:rPr>
          <w:rFonts w:hint="eastAsia" w:ascii="黑体" w:hAnsi="黑体" w:eastAsia="黑体" w:cs="黑体"/>
        </w:rPr>
        <w:fldChar w:fldCharType="separate"/>
      </w:r>
      <w:r>
        <w:rPr>
          <w:rFonts w:ascii="黑体" w:hAnsi="黑体" w:eastAsia="黑体" w:cs="黑体"/>
        </w:rPr>
        <w:t>6</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"_Toc12628" </w:instrText>
      </w:r>
      <w:r>
        <w:fldChar w:fldCharType="separate"/>
      </w:r>
      <w:r>
        <w:rPr>
          <w:rFonts w:hint="eastAsia" w:ascii="黑体" w:hAnsi="黑体" w:eastAsia="黑体" w:cs="黑体"/>
        </w:rPr>
        <w:t>3.2教育教学改革</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_Toc12628 </w:instrText>
      </w:r>
      <w:r>
        <w:rPr>
          <w:rFonts w:hint="eastAsia" w:ascii="黑体" w:hAnsi="黑体" w:eastAsia="黑体" w:cs="黑体"/>
        </w:rPr>
        <w:fldChar w:fldCharType="separate"/>
      </w:r>
      <w:r>
        <w:rPr>
          <w:rFonts w:ascii="黑体" w:hAnsi="黑体" w:eastAsia="黑体" w:cs="黑体"/>
        </w:rPr>
        <w:t>7</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"_Toc19438" </w:instrText>
      </w:r>
      <w:r>
        <w:fldChar w:fldCharType="separate"/>
      </w:r>
      <w:r>
        <w:rPr>
          <w:rFonts w:hint="eastAsia" w:ascii="黑体" w:hAnsi="黑体" w:eastAsia="黑体" w:cs="黑体"/>
        </w:rPr>
        <w:t>3.3教师培养培训</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_Toc19438 </w:instrText>
      </w:r>
      <w:r>
        <w:rPr>
          <w:rFonts w:hint="eastAsia" w:ascii="黑体" w:hAnsi="黑体" w:eastAsia="黑体" w:cs="黑体"/>
        </w:rPr>
        <w:fldChar w:fldCharType="separate"/>
      </w:r>
      <w:r>
        <w:rPr>
          <w:rFonts w:ascii="黑体" w:hAnsi="黑体" w:eastAsia="黑体" w:cs="黑体"/>
        </w:rPr>
        <w:t>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"_Toc12481" </w:instrText>
      </w:r>
      <w:r>
        <w:fldChar w:fldCharType="separate"/>
      </w:r>
      <w:r>
        <w:rPr>
          <w:rFonts w:hint="eastAsia" w:ascii="黑体" w:hAnsi="黑体" w:eastAsia="黑体" w:cs="黑体"/>
        </w:rPr>
        <w:t>3.4规范管理情况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_Toc12481 </w:instrText>
      </w:r>
      <w:r>
        <w:rPr>
          <w:rFonts w:hint="eastAsia" w:ascii="黑体" w:hAnsi="黑体" w:eastAsia="黑体" w:cs="黑体"/>
        </w:rPr>
        <w:fldChar w:fldCharType="separate"/>
      </w:r>
      <w:r>
        <w:rPr>
          <w:rFonts w:ascii="黑体" w:hAnsi="黑体" w:eastAsia="黑体" w:cs="黑体"/>
        </w:rPr>
        <w:t>8</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"_Toc31118" </w:instrText>
      </w:r>
      <w:r>
        <w:fldChar w:fldCharType="separate"/>
      </w:r>
      <w:r>
        <w:rPr>
          <w:rFonts w:hint="eastAsia" w:ascii="黑体" w:hAnsi="黑体" w:eastAsia="黑体" w:cs="黑体"/>
        </w:rPr>
        <w:t>3.5德育工作情况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_Toc31118 </w:instrText>
      </w:r>
      <w:r>
        <w:rPr>
          <w:rFonts w:hint="eastAsia" w:ascii="黑体" w:hAnsi="黑体" w:eastAsia="黑体" w:cs="黑体"/>
        </w:rPr>
        <w:fldChar w:fldCharType="separate"/>
      </w:r>
      <w:r>
        <w:rPr>
          <w:rFonts w:ascii="黑体" w:hAnsi="黑体" w:eastAsia="黑体" w:cs="黑体"/>
        </w:rPr>
        <w:t>9</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"_Toc14792" </w:instrText>
      </w:r>
      <w:r>
        <w:fldChar w:fldCharType="separate"/>
      </w:r>
      <w:r>
        <w:rPr>
          <w:rFonts w:hint="eastAsia" w:ascii="黑体" w:hAnsi="黑体" w:eastAsia="黑体" w:cs="黑体"/>
        </w:rPr>
        <w:t>3.6党建情况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_Toc14792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"_Toc26601" </w:instrText>
      </w:r>
      <w:r>
        <w:fldChar w:fldCharType="separate"/>
      </w:r>
      <w:r>
        <w:rPr>
          <w:rFonts w:hint="eastAsia" w:ascii="黑体" w:hAnsi="黑体" w:eastAsia="黑体" w:cs="黑体"/>
          <w:b/>
          <w:bCs/>
        </w:rPr>
        <w:t>4.校企合作</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_Toc26601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"_Toc5383" </w:instrText>
      </w:r>
      <w:r>
        <w:fldChar w:fldCharType="separate"/>
      </w:r>
      <w:r>
        <w:rPr>
          <w:rFonts w:hint="eastAsia" w:ascii="黑体" w:hAnsi="黑体" w:eastAsia="黑体" w:cs="黑体"/>
        </w:rPr>
        <w:t>4.1校企合作开展情况和效果</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_Toc5383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"_Toc7007" </w:instrText>
      </w:r>
      <w:r>
        <w:fldChar w:fldCharType="separate"/>
      </w:r>
      <w:r>
        <w:rPr>
          <w:rFonts w:hint="eastAsia" w:ascii="黑体" w:hAnsi="黑体" w:eastAsia="黑体" w:cs="黑体"/>
        </w:rPr>
        <w:t>4.2学生实习情况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_Toc7007 </w:instrText>
      </w:r>
      <w:r>
        <w:rPr>
          <w:rFonts w:hint="eastAsia" w:ascii="黑体" w:hAnsi="黑体" w:eastAsia="黑体" w:cs="黑体"/>
        </w:rPr>
        <w:fldChar w:fldCharType="separate"/>
      </w:r>
      <w:r>
        <w:rPr>
          <w:rFonts w:ascii="黑体" w:hAnsi="黑体" w:eastAsia="黑体" w:cs="黑体"/>
        </w:rPr>
        <w:t>10</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"_Toc689" </w:instrText>
      </w:r>
      <w:r>
        <w:fldChar w:fldCharType="separate"/>
      </w:r>
      <w:r>
        <w:rPr>
          <w:rFonts w:hint="eastAsia" w:ascii="黑体" w:hAnsi="黑体" w:eastAsia="黑体" w:cs="黑体"/>
        </w:rPr>
        <w:t>4.3集团化办学情况</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_Toc689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"_Toc13148" </w:instrText>
      </w:r>
      <w:r>
        <w:fldChar w:fldCharType="separate"/>
      </w:r>
      <w:r>
        <w:rPr>
          <w:rFonts w:hint="eastAsia" w:ascii="黑体" w:hAnsi="黑体" w:eastAsia="黑体" w:cs="黑体"/>
          <w:b/>
          <w:bCs/>
        </w:rPr>
        <w:t>5.社会贡献</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_Toc13148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"_Toc11364" </w:instrText>
      </w:r>
      <w:r>
        <w:fldChar w:fldCharType="separate"/>
      </w:r>
      <w:r>
        <w:rPr>
          <w:rFonts w:hint="eastAsia" w:ascii="黑体" w:hAnsi="黑体" w:eastAsia="黑体" w:cs="黑体"/>
        </w:rPr>
        <w:t>5.1人才培养</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_Toc11364 </w:instrText>
      </w:r>
      <w:r>
        <w:rPr>
          <w:rFonts w:hint="eastAsia" w:ascii="黑体" w:hAnsi="黑体" w:eastAsia="黑体" w:cs="黑体"/>
        </w:rPr>
        <w:fldChar w:fldCharType="separate"/>
      </w:r>
      <w:r>
        <w:rPr>
          <w:rFonts w:ascii="黑体" w:hAnsi="黑体" w:eastAsia="黑体" w:cs="黑体"/>
        </w:rPr>
        <w:t>11</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"_Toc9061" </w:instrText>
      </w:r>
      <w:r>
        <w:fldChar w:fldCharType="separate"/>
      </w:r>
      <w:r>
        <w:rPr>
          <w:rFonts w:hint="eastAsia" w:ascii="黑体" w:hAnsi="黑体" w:eastAsia="黑体" w:cs="黑体"/>
        </w:rPr>
        <w:t>5.2社会服务</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_Toc9061 </w:instrText>
      </w:r>
      <w:r>
        <w:rPr>
          <w:rFonts w:hint="eastAsia" w:ascii="黑体" w:hAnsi="黑体" w:eastAsia="黑体" w:cs="黑体"/>
        </w:rPr>
        <w:fldChar w:fldCharType="separate"/>
      </w:r>
      <w:r>
        <w:rPr>
          <w:rFonts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"_Toc20098" </w:instrText>
      </w:r>
      <w:r>
        <w:fldChar w:fldCharType="separate"/>
      </w:r>
      <w:r>
        <w:rPr>
          <w:rFonts w:hint="eastAsia" w:ascii="黑体" w:hAnsi="黑体" w:eastAsia="黑体" w:cs="黑体"/>
          <w:b/>
          <w:bCs/>
        </w:rPr>
        <w:t>6.举办者履责</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_Toc20098 </w:instrText>
      </w:r>
      <w:r>
        <w:rPr>
          <w:rFonts w:hint="eastAsia" w:ascii="黑体" w:hAnsi="黑体" w:eastAsia="黑体" w:cs="黑体"/>
        </w:rPr>
        <w:fldChar w:fldCharType="separate"/>
      </w:r>
      <w:r>
        <w:rPr>
          <w:rFonts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"_Toc14717" </w:instrText>
      </w:r>
      <w:r>
        <w:fldChar w:fldCharType="separate"/>
      </w:r>
      <w:r>
        <w:rPr>
          <w:rFonts w:hint="eastAsia" w:ascii="黑体" w:hAnsi="黑体" w:eastAsia="黑体" w:cs="黑体"/>
        </w:rPr>
        <w:t>6.1经费</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_Toc14717 </w:instrText>
      </w:r>
      <w:r>
        <w:rPr>
          <w:rFonts w:hint="eastAsia" w:ascii="黑体" w:hAnsi="黑体" w:eastAsia="黑体" w:cs="黑体"/>
        </w:rPr>
        <w:fldChar w:fldCharType="separate"/>
      </w:r>
      <w:r>
        <w:rPr>
          <w:rFonts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"_Toc7560" </w:instrText>
      </w:r>
      <w:r>
        <w:fldChar w:fldCharType="separate"/>
      </w:r>
      <w:r>
        <w:rPr>
          <w:rFonts w:hint="eastAsia" w:ascii="黑体" w:hAnsi="黑体" w:eastAsia="黑体" w:cs="黑体"/>
        </w:rPr>
        <w:t>6.2政策措施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_Toc7560 </w:instrText>
      </w:r>
      <w:r>
        <w:rPr>
          <w:rFonts w:hint="eastAsia" w:ascii="黑体" w:hAnsi="黑体" w:eastAsia="黑体" w:cs="黑体"/>
        </w:rPr>
        <w:fldChar w:fldCharType="separate"/>
      </w:r>
      <w:r>
        <w:rPr>
          <w:rFonts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"_Toc1190" </w:instrText>
      </w:r>
      <w:r>
        <w:fldChar w:fldCharType="separate"/>
      </w:r>
      <w:r>
        <w:rPr>
          <w:rFonts w:hint="eastAsia" w:ascii="黑体" w:hAnsi="黑体" w:eastAsia="黑体" w:cs="黑体"/>
          <w:b/>
          <w:bCs/>
        </w:rPr>
        <w:t>7.特色创新</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_Toc1190 </w:instrText>
      </w:r>
      <w:r>
        <w:rPr>
          <w:rFonts w:hint="eastAsia" w:ascii="黑体" w:hAnsi="黑体" w:eastAsia="黑体" w:cs="黑体"/>
        </w:rPr>
        <w:fldChar w:fldCharType="separate"/>
      </w:r>
      <w:r>
        <w:rPr>
          <w:rFonts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"_Toc20221" </w:instrText>
      </w:r>
      <w:r>
        <w:fldChar w:fldCharType="separate"/>
      </w:r>
      <w:r>
        <w:rPr>
          <w:rFonts w:hint="eastAsia" w:ascii="黑体" w:hAnsi="黑体" w:eastAsia="黑体" w:cs="黑体"/>
        </w:rPr>
        <w:t>案例一：开展学生职业生涯教育，促进学生核心素养的提升</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_Toc20221 </w:instrText>
      </w:r>
      <w:r>
        <w:rPr>
          <w:rFonts w:hint="eastAsia" w:ascii="黑体" w:hAnsi="黑体" w:eastAsia="黑体" w:cs="黑体"/>
        </w:rPr>
        <w:fldChar w:fldCharType="separate"/>
      </w:r>
      <w:r>
        <w:rPr>
          <w:rFonts w:ascii="黑体" w:hAnsi="黑体" w:eastAsia="黑体" w:cs="黑体"/>
        </w:rPr>
        <w:t>12</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"_Toc1172" </w:instrText>
      </w:r>
      <w:r>
        <w:fldChar w:fldCharType="separate"/>
      </w:r>
      <w:r>
        <w:rPr>
          <w:rFonts w:hint="eastAsia" w:ascii="黑体" w:hAnsi="黑体" w:eastAsia="黑体" w:cs="黑体"/>
        </w:rPr>
        <w:t>案例二：全面推行生活即教育理念，培养学生的良好习惯</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_Toc1172 </w:instrText>
      </w:r>
      <w:r>
        <w:rPr>
          <w:rFonts w:hint="eastAsia" w:ascii="黑体" w:hAnsi="黑体" w:eastAsia="黑体" w:cs="黑体"/>
        </w:rPr>
        <w:fldChar w:fldCharType="separate"/>
      </w:r>
      <w:r>
        <w:rPr>
          <w:rFonts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9"/>
        <w:tabs>
          <w:tab w:val="right" w:leader="dot" w:pos="8788"/>
        </w:tabs>
        <w:rPr>
          <w:rFonts w:ascii="黑体" w:hAnsi="黑体" w:eastAsia="黑体" w:cs="黑体"/>
        </w:rPr>
      </w:pPr>
      <w:r>
        <w:fldChar w:fldCharType="begin"/>
      </w:r>
      <w:r>
        <w:instrText xml:space="preserve"> HYPERLINK \l "_Toc10985" </w:instrText>
      </w:r>
      <w:r>
        <w:fldChar w:fldCharType="separate"/>
      </w:r>
      <w:r>
        <w:rPr>
          <w:rFonts w:hint="eastAsia" w:ascii="黑体" w:hAnsi="黑体" w:eastAsia="黑体" w:cs="黑体"/>
          <w:b/>
          <w:bCs/>
        </w:rPr>
        <w:t>8.主要问题和改进措施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_Toc10985 </w:instrText>
      </w:r>
      <w:r>
        <w:rPr>
          <w:rFonts w:hint="eastAsia" w:ascii="黑体" w:hAnsi="黑体" w:eastAsia="黑体" w:cs="黑体"/>
        </w:rPr>
        <w:fldChar w:fldCharType="separate"/>
      </w:r>
      <w:r>
        <w:rPr>
          <w:rFonts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"_Toc5066" </w:instrText>
      </w:r>
      <w:r>
        <w:fldChar w:fldCharType="separate"/>
      </w:r>
      <w:r>
        <w:rPr>
          <w:rFonts w:hint="eastAsia" w:ascii="黑体" w:hAnsi="黑体" w:eastAsia="黑体" w:cs="黑体"/>
        </w:rPr>
        <w:t>8.1、目前学校存在的问题：招生难、教学难、管理难</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_Toc5066 </w:instrText>
      </w:r>
      <w:r>
        <w:rPr>
          <w:rFonts w:hint="eastAsia" w:ascii="黑体" w:hAnsi="黑体" w:eastAsia="黑体" w:cs="黑体"/>
        </w:rPr>
        <w:fldChar w:fldCharType="separate"/>
      </w:r>
      <w:r>
        <w:rPr>
          <w:rFonts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pStyle w:val="10"/>
        <w:tabs>
          <w:tab w:val="right" w:leader="dot" w:pos="8788"/>
        </w:tabs>
        <w:ind w:left="480"/>
        <w:rPr>
          <w:rFonts w:ascii="黑体" w:hAnsi="黑体" w:eastAsia="黑体" w:cs="黑体"/>
        </w:rPr>
      </w:pPr>
      <w:r>
        <w:fldChar w:fldCharType="begin"/>
      </w:r>
      <w:r>
        <w:instrText xml:space="preserve"> HYPERLINK \l "_Toc29176" </w:instrText>
      </w:r>
      <w:r>
        <w:fldChar w:fldCharType="separate"/>
      </w:r>
      <w:r>
        <w:rPr>
          <w:rFonts w:hint="eastAsia" w:ascii="黑体" w:hAnsi="黑体" w:eastAsia="黑体" w:cs="黑体"/>
        </w:rPr>
        <w:t>8.2、改进措施</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_Toc29176 </w:instrText>
      </w:r>
      <w:r>
        <w:rPr>
          <w:rFonts w:hint="eastAsia" w:ascii="黑体" w:hAnsi="黑体" w:eastAsia="黑体" w:cs="黑体"/>
        </w:rPr>
        <w:fldChar w:fldCharType="separate"/>
      </w:r>
      <w:r>
        <w:rPr>
          <w:rFonts w:ascii="黑体" w:hAnsi="黑体" w:eastAsia="黑体" w:cs="黑体"/>
        </w:rPr>
        <w:t>13</w:t>
      </w:r>
      <w:r>
        <w:rPr>
          <w:rFonts w:hint="eastAsia" w:ascii="黑体" w:hAnsi="黑体" w:eastAsia="黑体" w:cs="黑体"/>
        </w:rPr>
        <w:fldChar w:fldCharType="end"/>
      </w:r>
      <w:r>
        <w:rPr>
          <w:rFonts w:hint="eastAsia" w:ascii="黑体" w:hAnsi="黑体" w:eastAsia="黑体" w:cs="黑体"/>
        </w:rPr>
        <w:fldChar w:fldCharType="end"/>
      </w:r>
    </w:p>
    <w:p>
      <w:pPr>
        <w:spacing w:line="440" w:lineRule="exact"/>
        <w:rPr>
          <w:rFonts w:ascii="黑体" w:hAnsi="黑体" w:eastAsia="黑体" w:cs="黑体"/>
        </w:rPr>
        <w:sectPr>
          <w:pgSz w:w="11906" w:h="16838"/>
          <w:pgMar w:top="1701" w:right="1417" w:bottom="1417" w:left="1701" w:header="851" w:footer="992" w:gutter="0"/>
          <w:cols w:space="425" w:num="1"/>
          <w:docGrid w:type="lines" w:linePitch="312" w:charSpace="0"/>
        </w:sectPr>
      </w:pPr>
      <w:r>
        <w:rPr>
          <w:rFonts w:hint="eastAsia" w:ascii="黑体" w:hAnsi="黑体" w:eastAsia="黑体" w:cs="黑体"/>
        </w:rPr>
        <w:fldChar w:fldCharType="end"/>
      </w:r>
    </w:p>
    <w:p>
      <w:pPr>
        <w:pStyle w:val="2"/>
        <w:jc w:val="center"/>
      </w:pPr>
      <w:r>
        <w:rPr>
          <w:rFonts w:hint="eastAsia"/>
        </w:rPr>
        <w:t>内蒙古自治区中等职业学校教育质量年度报告书</w:t>
      </w:r>
    </w:p>
    <w:p/>
    <w:p>
      <w:pPr>
        <w:pStyle w:val="3"/>
        <w:numPr>
          <w:ilvl w:val="0"/>
          <w:numId w:val="1"/>
        </w:numPr>
        <w:rPr>
          <w:rFonts w:asciiTheme="minorEastAsia" w:hAnsiTheme="minorEastAsia" w:eastAsiaTheme="minorEastAsia" w:cstheme="minorEastAsia"/>
        </w:rPr>
      </w:pPr>
      <w:r>
        <w:rPr>
          <w:rFonts w:hint="eastAsia"/>
        </w:rPr>
        <w:t>单位名称：</w:t>
      </w:r>
      <w:r>
        <w:rPr>
          <w:rFonts w:hint="eastAsia" w:asciiTheme="minorEastAsia" w:hAnsiTheme="minorEastAsia" w:eastAsiaTheme="minorEastAsia" w:cstheme="minorEastAsia"/>
        </w:rPr>
        <w:t>内蒙古杨氏中等职业学校</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numPr>
          <w:ilvl w:val="0"/>
          <w:numId w:val="1"/>
        </w:numPr>
        <w:rPr>
          <w:b/>
          <w:bCs/>
        </w:rPr>
      </w:pPr>
      <w:r>
        <w:rPr>
          <w:rStyle w:val="17"/>
          <w:rFonts w:hint="eastAsia"/>
        </w:rPr>
        <w:t xml:space="preserve">报告名称： </w:t>
      </w:r>
      <w:r>
        <w:rPr>
          <w:rFonts w:hint="eastAsia"/>
          <w:b/>
          <w:bCs/>
          <w:sz w:val="28"/>
          <w:szCs w:val="28"/>
        </w:rPr>
        <w:t>内蒙古自治区中等职业学校教育质量年度报告书</w:t>
      </w:r>
    </w:p>
    <w:p>
      <w:pPr>
        <w:rPr>
          <w:b/>
          <w:bCs/>
          <w:sz w:val="28"/>
          <w:szCs w:val="28"/>
        </w:rPr>
      </w:pPr>
    </w:p>
    <w:p>
      <w:pPr>
        <w:numPr>
          <w:ilvl w:val="0"/>
          <w:numId w:val="1"/>
        </w:numPr>
        <w:rPr>
          <w:rFonts w:asciiTheme="minorEastAsia" w:hAnsiTheme="minorEastAsia" w:eastAsiaTheme="minorEastAsia" w:cstheme="minorEastAsia"/>
          <w:b/>
          <w:bCs/>
          <w:sz w:val="28"/>
          <w:szCs w:val="28"/>
        </w:rPr>
      </w:pPr>
      <w:r>
        <w:rPr>
          <w:rStyle w:val="17"/>
          <w:rFonts w:hint="eastAsia"/>
        </w:rPr>
        <w:t>报告内容：</w:t>
      </w:r>
      <w:r>
        <w:rPr>
          <w:rFonts w:hint="eastAsia" w:asciiTheme="minorEastAsia" w:hAnsiTheme="minorEastAsia" w:eastAsiaTheme="minorEastAsia" w:cstheme="minorEastAsia"/>
          <w:b/>
          <w:bCs/>
          <w:sz w:val="28"/>
          <w:szCs w:val="28"/>
        </w:rPr>
        <w:t>内蒙古杨氏中等职业学校201</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年度教育质量报告</w:t>
      </w:r>
    </w:p>
    <w:p>
      <w:pPr>
        <w:rPr>
          <w:rFonts w:asciiTheme="minorEastAsia" w:hAnsiTheme="minorEastAsia" w:eastAsiaTheme="minorEastAsia" w:cstheme="minorEastAsia"/>
          <w:b/>
          <w:bCs/>
          <w:sz w:val="28"/>
          <w:szCs w:val="28"/>
        </w:rPr>
      </w:pPr>
    </w:p>
    <w:p>
      <w:pPr>
        <w:pStyle w:val="3"/>
        <w:numPr>
          <w:ilvl w:val="0"/>
          <w:numId w:val="1"/>
        </w:numPr>
      </w:pPr>
      <w:r>
        <w:rPr>
          <w:rFonts w:hint="eastAsia"/>
        </w:rPr>
        <w:t>报告单位及法人联系方式：</w:t>
      </w:r>
      <w:r>
        <w:rPr>
          <w:rFonts w:hint="eastAsia" w:asciiTheme="minorEastAsia" w:hAnsiTheme="minorEastAsia" w:eastAsiaTheme="minorEastAsia" w:cstheme="minorEastAsia"/>
        </w:rPr>
        <w:t>杨俊平：13304718955</w:t>
      </w: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3"/>
        <w:numPr>
          <w:ilvl w:val="0"/>
          <w:numId w:val="1"/>
        </w:numPr>
        <w:rPr>
          <w:rFonts w:asciiTheme="minorEastAsia" w:hAnsiTheme="minorEastAsia" w:eastAsiaTheme="minorEastAsia" w:cstheme="minorEastAsia"/>
        </w:rPr>
      </w:pPr>
      <w:r>
        <w:rPr>
          <w:rFonts w:hint="eastAsia"/>
        </w:rPr>
        <w:t xml:space="preserve">报告负责人及联系方式：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eastAsia="zh-CN"/>
        </w:rPr>
        <w:t>张少茹</w:t>
      </w:r>
      <w:r>
        <w:rPr>
          <w:rFonts w:hint="eastAsia" w:asciiTheme="minorEastAsia" w:hAnsiTheme="minorEastAsia" w:eastAsiaTheme="minorEastAsia" w:cstheme="minorEastAsia"/>
        </w:rPr>
        <w:t>： 15</w:t>
      </w:r>
      <w:r>
        <w:rPr>
          <w:rFonts w:hint="eastAsia" w:asciiTheme="minorEastAsia" w:hAnsiTheme="minorEastAsia" w:eastAsiaTheme="minorEastAsia" w:cstheme="minorEastAsia"/>
          <w:lang w:val="en-US" w:eastAsia="zh-CN"/>
        </w:rPr>
        <w:t>804716170</w:t>
      </w:r>
    </w:p>
    <w:p/>
    <w:p/>
    <w:p/>
    <w:p>
      <w:pPr>
        <w:jc w:val="center"/>
      </w:pPr>
    </w:p>
    <w:p>
      <w:pPr>
        <w:rPr>
          <w:b/>
          <w:bCs/>
          <w:sz w:val="28"/>
          <w:szCs w:val="28"/>
        </w:rPr>
      </w:pPr>
      <w:r>
        <w:rPr>
          <w:rFonts w:hint="eastAsia"/>
          <w:b/>
          <w:bCs/>
          <w:sz w:val="28"/>
          <w:szCs w:val="28"/>
        </w:rPr>
        <w:t>报告单位（公章）                法人代表：（签名）</w:t>
      </w:r>
    </w:p>
    <w:p>
      <w:pPr>
        <w:rPr>
          <w:b/>
          <w:bCs/>
          <w:sz w:val="28"/>
          <w:szCs w:val="28"/>
        </w:rPr>
      </w:pPr>
    </w:p>
    <w:p>
      <w:pPr>
        <w:jc w:val="center"/>
        <w:rPr>
          <w:b/>
          <w:bCs/>
          <w:sz w:val="28"/>
          <w:szCs w:val="28"/>
        </w:rPr>
      </w:pPr>
    </w:p>
    <w:p>
      <w:pPr>
        <w:rPr>
          <w:b/>
          <w:bCs/>
          <w:sz w:val="28"/>
          <w:szCs w:val="28"/>
        </w:rPr>
      </w:pPr>
      <w:r>
        <w:rPr>
          <w:rFonts w:hint="eastAsia"/>
          <w:b/>
          <w:bCs/>
          <w:sz w:val="28"/>
          <w:szCs w:val="28"/>
        </w:rPr>
        <w:t>上级主管部门（公章）            上级主管领导：（签字）</w:t>
      </w:r>
    </w:p>
    <w:p>
      <w:pPr>
        <w:spacing w:line="440" w:lineRule="exact"/>
        <w:rPr>
          <w:rFonts w:ascii="宋体" w:hAnsi="宋体"/>
          <w:b/>
          <w:bCs/>
          <w:sz w:val="28"/>
          <w:szCs w:val="28"/>
        </w:rPr>
      </w:pPr>
    </w:p>
    <w:p>
      <w:pPr>
        <w:spacing w:line="440" w:lineRule="exact"/>
        <w:rPr>
          <w:rFonts w:ascii="宋体" w:hAnsi="宋体"/>
          <w:b/>
          <w:bCs/>
        </w:rPr>
      </w:pPr>
    </w:p>
    <w:p>
      <w:pPr>
        <w:spacing w:line="440" w:lineRule="exact"/>
        <w:rPr>
          <w:rFonts w:ascii="宋体" w:hAnsi="宋体"/>
          <w:b/>
          <w:bCs/>
        </w:rPr>
      </w:pPr>
    </w:p>
    <w:p>
      <w:pPr>
        <w:spacing w:line="440" w:lineRule="exact"/>
        <w:rPr>
          <w:rFonts w:ascii="宋体" w:hAnsi="宋体"/>
          <w:b/>
          <w:bCs/>
        </w:rPr>
      </w:pPr>
    </w:p>
    <w:p>
      <w:pPr>
        <w:pStyle w:val="3"/>
        <w:jc w:val="center"/>
      </w:pPr>
      <w:r>
        <w:rPr>
          <w:rFonts w:hint="eastAsia"/>
        </w:rPr>
        <w:t xml:space="preserve">                              年    月    日</w:t>
      </w:r>
    </w:p>
    <w:p>
      <w:pPr>
        <w:spacing w:line="440" w:lineRule="exact"/>
        <w:rPr>
          <w:rFonts w:ascii="宋体" w:hAnsi="宋体"/>
          <w:b/>
          <w:bCs/>
          <w:sz w:val="28"/>
          <w:szCs w:val="28"/>
        </w:rPr>
      </w:pPr>
    </w:p>
    <w:p>
      <w:pPr>
        <w:spacing w:line="440" w:lineRule="exact"/>
        <w:rPr>
          <w:rFonts w:ascii="宋体" w:hAnsi="宋体"/>
          <w:b/>
          <w:bCs/>
        </w:rPr>
      </w:pPr>
    </w:p>
    <w:p>
      <w:pPr>
        <w:spacing w:line="440" w:lineRule="exact"/>
        <w:rPr>
          <w:rFonts w:ascii="宋体" w:hAnsi="宋体"/>
          <w:b/>
          <w:bCs/>
        </w:rPr>
        <w:sectPr>
          <w:footerReference r:id="rId5" w:type="default"/>
          <w:pgSz w:w="11906" w:h="16838"/>
          <w:pgMar w:top="1701" w:right="1417" w:bottom="1417" w:left="1701" w:header="851" w:footer="992" w:gutter="0"/>
          <w:pgNumType w:start="1"/>
          <w:cols w:space="425" w:num="1"/>
          <w:docGrid w:type="lines" w:linePitch="312" w:charSpace="0"/>
        </w:sectPr>
      </w:pPr>
    </w:p>
    <w:p>
      <w:pPr>
        <w:spacing w:line="440" w:lineRule="exact"/>
        <w:rPr>
          <w:rFonts w:ascii="宋体" w:hAnsi="宋体"/>
          <w:b/>
          <w:bCs/>
        </w:rPr>
      </w:pPr>
    </w:p>
    <w:p>
      <w:pPr>
        <w:spacing w:line="440" w:lineRule="exact"/>
        <w:jc w:val="center"/>
        <w:rPr>
          <w:rFonts w:ascii="黑体" w:hAnsi="黑体" w:eastAsia="黑体" w:cs="黑体"/>
          <w:b/>
          <w:bCs/>
          <w:w w:val="80"/>
          <w:sz w:val="30"/>
          <w:szCs w:val="30"/>
        </w:rPr>
      </w:pPr>
      <w:r>
        <w:rPr>
          <w:rFonts w:hint="eastAsia" w:ascii="黑体" w:hAnsi="黑体" w:eastAsia="黑体" w:cs="黑体"/>
          <w:b/>
          <w:bCs/>
          <w:w w:val="80"/>
          <w:sz w:val="30"/>
          <w:szCs w:val="30"/>
        </w:rPr>
        <w:t>内蒙古杨氏中等职业学校教育年度质量报告</w:t>
      </w:r>
    </w:p>
    <w:p>
      <w:pPr>
        <w:pStyle w:val="2"/>
        <w:numPr>
          <w:ilvl w:val="0"/>
          <w:numId w:val="2"/>
        </w:numPr>
        <w:spacing w:line="440" w:lineRule="exact"/>
        <w:rPr>
          <w:rFonts w:ascii="黑体" w:hAnsi="黑体" w:cs="黑体"/>
        </w:rPr>
      </w:pPr>
      <w:bookmarkStart w:id="1" w:name="_Toc18684"/>
      <w:bookmarkStart w:id="2" w:name="_Toc12894"/>
      <w:r>
        <w:rPr>
          <w:rFonts w:hint="eastAsia" w:ascii="黑体" w:hAnsi="黑体" w:cs="黑体"/>
        </w:rPr>
        <w:t>学校情况</w:t>
      </w:r>
      <w:bookmarkEnd w:id="1"/>
    </w:p>
    <w:p>
      <w:pPr>
        <w:pStyle w:val="3"/>
        <w:spacing w:line="440" w:lineRule="exact"/>
        <w:rPr>
          <w:rFonts w:ascii="黑体" w:hAnsi="黑体" w:cs="黑体"/>
        </w:rPr>
      </w:pPr>
      <w:bookmarkStart w:id="3" w:name="_Toc11171"/>
      <w:r>
        <w:rPr>
          <w:rFonts w:hint="eastAsia" w:ascii="黑体" w:hAnsi="黑体" w:cs="黑体"/>
        </w:rPr>
        <w:t>1.1学校概况</w:t>
      </w:r>
      <w:bookmarkEnd w:id="3"/>
    </w:p>
    <w:bookmarkEnd w:id="0"/>
    <w:bookmarkEnd w:id="2"/>
    <w:p>
      <w:pPr>
        <w:pStyle w:val="2"/>
        <w:keepNext w:val="0"/>
        <w:keepLines w:val="0"/>
        <w:spacing w:line="440" w:lineRule="exact"/>
        <w:ind w:firstLine="480" w:firstLineChars="200"/>
        <w:rPr>
          <w:rFonts w:asciiTheme="minorEastAsia" w:hAnsiTheme="minorEastAsia" w:eastAsiaTheme="minorEastAsia" w:cstheme="minorEastAsia"/>
          <w:sz w:val="24"/>
        </w:rPr>
      </w:pPr>
      <w:bookmarkStart w:id="4" w:name="_Toc3940"/>
      <w:bookmarkStart w:id="5" w:name="_Toc1178"/>
      <w:r>
        <w:rPr>
          <w:rFonts w:hint="eastAsia" w:asciiTheme="minorEastAsia" w:hAnsiTheme="minorEastAsia" w:eastAsiaTheme="minorEastAsia" w:cstheme="minorEastAsia"/>
          <w:b w:val="0"/>
          <w:bCs/>
          <w:kern w:val="0"/>
          <w:sz w:val="24"/>
        </w:rPr>
        <w:t>内蒙古杨氏中等职业学校创办于2004年11月，是经内蒙古自治区教育厅批准成立的一所高层次、高起点、适应性强的美容美发化妆类专业技术学校。</w:t>
      </w:r>
      <w:bookmarkEnd w:id="4"/>
      <w:bookmarkEnd w:id="5"/>
      <w:r>
        <w:rPr>
          <w:rFonts w:hint="eastAsia" w:asciiTheme="minorEastAsia" w:hAnsiTheme="minorEastAsia" w:eastAsiaTheme="minorEastAsia" w:cstheme="minorEastAsia"/>
          <w:b w:val="0"/>
          <w:bCs/>
          <w:kern w:val="0"/>
          <w:sz w:val="24"/>
        </w:rPr>
        <w:t xml:space="preserve"> </w:t>
      </w:r>
    </w:p>
    <w:p>
      <w:pPr>
        <w:spacing w:line="440" w:lineRule="exact"/>
        <w:ind w:firstLine="480" w:firstLineChars="200"/>
        <w:rPr>
          <w:rFonts w:asciiTheme="minorEastAsia" w:hAnsiTheme="minorEastAsia" w:eastAsiaTheme="minorEastAsia" w:cstheme="minorEastAsia"/>
          <w:color w:val="000000" w:themeColor="text1"/>
          <w:kern w:val="0"/>
        </w:rPr>
      </w:pPr>
      <w:r>
        <w:rPr>
          <w:rFonts w:hint="eastAsia" w:asciiTheme="minorEastAsia" w:hAnsiTheme="minorEastAsia" w:eastAsiaTheme="minorEastAsia" w:cstheme="minorEastAsia"/>
          <w:kern w:val="0"/>
        </w:rPr>
        <w:drawing>
          <wp:anchor distT="0" distB="0" distL="114300" distR="114300" simplePos="0" relativeHeight="251658240" behindDoc="1" locked="0" layoutInCell="1" allowOverlap="1">
            <wp:simplePos x="0" y="0"/>
            <wp:positionH relativeFrom="column">
              <wp:posOffset>3723005</wp:posOffset>
            </wp:positionH>
            <wp:positionV relativeFrom="page">
              <wp:posOffset>3457575</wp:posOffset>
            </wp:positionV>
            <wp:extent cx="1957705" cy="2601595"/>
            <wp:effectExtent l="0" t="0" r="4445" b="8255"/>
            <wp:wrapThrough wrapText="bothSides">
              <wp:wrapPolygon>
                <wp:start x="0" y="0"/>
                <wp:lineTo x="0" y="21510"/>
                <wp:lineTo x="21439" y="21510"/>
                <wp:lineTo x="21439" y="0"/>
                <wp:lineTo x="0" y="0"/>
              </wp:wrapPolygon>
            </wp:wrapThrough>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Theme="minorEastAsia" w:hAnsiTheme="minorEastAsia" w:eastAsiaTheme="minorEastAsia" w:cstheme="minorEastAsia"/>
          <w:kern w:val="0"/>
        </w:rPr>
        <w:t>学校占地面积共计8000平方米，建筑面积1800平方米，</w:t>
      </w:r>
      <w:r>
        <w:rPr>
          <w:rFonts w:hint="eastAsia" w:asciiTheme="minorEastAsia" w:hAnsiTheme="minorEastAsia" w:eastAsiaTheme="minorEastAsia" w:cstheme="minorEastAsia"/>
        </w:rPr>
        <w:t>其中实习实训基地1100 平方米</w:t>
      </w:r>
      <w:r>
        <w:rPr>
          <w:rFonts w:hint="eastAsia" w:asciiTheme="minorEastAsia" w:hAnsiTheme="minorEastAsia" w:eastAsiaTheme="minorEastAsia" w:cstheme="minorEastAsia"/>
          <w:kern w:val="0"/>
        </w:rPr>
        <w:t>。</w:t>
      </w:r>
      <w:r>
        <w:rPr>
          <w:rFonts w:hint="eastAsia" w:asciiTheme="minorEastAsia" w:hAnsiTheme="minorEastAsia" w:eastAsiaTheme="minorEastAsia" w:cstheme="minorEastAsia"/>
          <w:color w:val="000000" w:themeColor="text1"/>
          <w:kern w:val="0"/>
        </w:rPr>
        <w:t>学校共计资产323.3万元</w:t>
      </w:r>
      <w:r>
        <w:rPr>
          <w:rFonts w:hint="eastAsia" w:asciiTheme="minorEastAsia" w:hAnsiTheme="minorEastAsia" w:eastAsiaTheme="minorEastAsia" w:cstheme="minorEastAsia"/>
          <w:kern w:val="0"/>
        </w:rPr>
        <w:t>，</w:t>
      </w:r>
      <w:r>
        <w:rPr>
          <w:rFonts w:hint="eastAsia" w:asciiTheme="minorEastAsia" w:hAnsiTheme="minorEastAsia" w:eastAsiaTheme="minorEastAsia" w:cstheme="minorEastAsia"/>
          <w:color w:val="000000" w:themeColor="text1"/>
          <w:kern w:val="0"/>
        </w:rPr>
        <w:t>固定资产233.43万元，其中教学设备70万元。</w:t>
      </w:r>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kern w:val="0"/>
        </w:rPr>
        <w:t>学校始终</w:t>
      </w:r>
      <w:r>
        <w:rPr>
          <w:rFonts w:hint="eastAsia" w:asciiTheme="minorEastAsia" w:hAnsiTheme="minorEastAsia" w:eastAsiaTheme="minorEastAsia" w:cstheme="minorEastAsia"/>
        </w:rPr>
        <w:t>坚持社会主义办学的指导思想，全面贯彻</w:t>
      </w:r>
      <w:r>
        <w:rPr>
          <w:rFonts w:hint="eastAsia" w:asciiTheme="minorEastAsia" w:hAnsiTheme="minorEastAsia" w:eastAsiaTheme="minorEastAsia" w:cstheme="minorEastAsia"/>
          <w:lang w:val="es-PE"/>
        </w:rPr>
        <w:t>党的教育方针，根据《职业教育法》和《民办教育促进法》的有关规定，为社会和行业发展培养了许多高素质的专业技能人才，在保证教育教学质量的基础上提高办学效益。</w:t>
      </w:r>
    </w:p>
    <w:p>
      <w:pPr>
        <w:pStyle w:val="3"/>
        <w:spacing w:line="440" w:lineRule="exact"/>
        <w:rPr>
          <w:rFonts w:ascii="黑体" w:hAnsi="黑体" w:cs="黑体"/>
        </w:rPr>
      </w:pPr>
      <w:bookmarkStart w:id="6" w:name="_Toc25673"/>
      <w:bookmarkStart w:id="7" w:name="_Toc28705"/>
      <w:bookmarkStart w:id="8" w:name="_Toc19282"/>
      <w:r>
        <w:rPr>
          <w:rFonts w:hint="eastAsia" w:ascii="黑体" w:hAnsi="黑体" w:cs="黑体"/>
        </w:rPr>
        <w:t>1.2学生情况</w:t>
      </w:r>
      <w:bookmarkEnd w:id="6"/>
      <w:bookmarkEnd w:id="7"/>
      <w:bookmarkEnd w:id="8"/>
    </w:p>
    <w:p>
      <w:pPr>
        <w:spacing w:line="440" w:lineRule="exact"/>
        <w:ind w:firstLine="480" w:firstLineChars="200"/>
        <w:rPr>
          <w:rFonts w:asciiTheme="minorEastAsia" w:hAnsiTheme="minorEastAsia" w:eastAsiaTheme="minorEastAsia" w:cstheme="minorEastAsia"/>
          <w:color w:val="auto"/>
          <w:kern w:val="0"/>
        </w:rPr>
      </w:pPr>
      <w:r>
        <w:rPr>
          <w:rFonts w:hint="eastAsia" w:asciiTheme="minorEastAsia" w:hAnsiTheme="minorEastAsia" w:eastAsiaTheme="minorEastAsia" w:cstheme="minorEastAsia"/>
          <w:color w:val="auto"/>
          <w:kern w:val="0"/>
        </w:rPr>
        <w:t>201</w:t>
      </w:r>
      <w:r>
        <w:rPr>
          <w:rFonts w:hint="eastAsia" w:asciiTheme="minorEastAsia" w:hAnsiTheme="minorEastAsia" w:eastAsiaTheme="minorEastAsia" w:cstheme="minorEastAsia"/>
          <w:color w:val="auto"/>
          <w:kern w:val="0"/>
          <w:lang w:val="en-US" w:eastAsia="zh-CN"/>
        </w:rPr>
        <w:t>9</w:t>
      </w:r>
      <w:r>
        <w:rPr>
          <w:rFonts w:hint="eastAsia" w:asciiTheme="minorEastAsia" w:hAnsiTheme="minorEastAsia" w:eastAsiaTheme="minorEastAsia" w:cstheme="minorEastAsia"/>
          <w:color w:val="auto"/>
          <w:kern w:val="0"/>
        </w:rPr>
        <w:t>年，我校新招收学员</w:t>
      </w:r>
      <w:r>
        <w:rPr>
          <w:rFonts w:hint="eastAsia" w:asciiTheme="minorEastAsia" w:hAnsiTheme="minorEastAsia" w:eastAsiaTheme="minorEastAsia" w:cstheme="minorEastAsia"/>
          <w:color w:val="auto"/>
          <w:kern w:val="0"/>
          <w:lang w:val="en-US" w:eastAsia="zh-CN"/>
        </w:rPr>
        <w:t>31</w:t>
      </w:r>
      <w:r>
        <w:rPr>
          <w:rFonts w:hint="eastAsia" w:asciiTheme="minorEastAsia" w:hAnsiTheme="minorEastAsia" w:eastAsiaTheme="minorEastAsia" w:cstheme="minorEastAsia"/>
          <w:color w:val="auto"/>
          <w:kern w:val="0"/>
        </w:rPr>
        <w:t>人，现在校生总数</w:t>
      </w:r>
      <w:r>
        <w:rPr>
          <w:rFonts w:hint="eastAsia" w:asciiTheme="minorEastAsia" w:hAnsiTheme="minorEastAsia" w:eastAsiaTheme="minorEastAsia" w:cstheme="minorEastAsia"/>
          <w:color w:val="auto"/>
          <w:kern w:val="0"/>
          <w:lang w:val="en-US" w:eastAsia="zh-CN"/>
        </w:rPr>
        <w:t>108</w:t>
      </w:r>
      <w:r>
        <w:rPr>
          <w:rFonts w:hint="eastAsia" w:asciiTheme="minorEastAsia" w:hAnsiTheme="minorEastAsia" w:eastAsiaTheme="minorEastAsia" w:cstheme="minorEastAsia"/>
          <w:color w:val="auto"/>
          <w:kern w:val="0"/>
        </w:rPr>
        <w:t>人，所有学生均为全日制三年制普通中专学生，其中美发与形象设计专业（美发）学生</w:t>
      </w:r>
      <w:r>
        <w:rPr>
          <w:rFonts w:hint="eastAsia" w:asciiTheme="minorEastAsia" w:hAnsiTheme="minorEastAsia" w:eastAsiaTheme="minorEastAsia" w:cstheme="minorEastAsia"/>
          <w:color w:val="auto"/>
          <w:kern w:val="0"/>
          <w:lang w:val="en-US" w:eastAsia="zh-CN"/>
        </w:rPr>
        <w:t>46</w:t>
      </w:r>
      <w:r>
        <w:rPr>
          <w:rFonts w:hint="eastAsia" w:asciiTheme="minorEastAsia" w:hAnsiTheme="minorEastAsia" w:eastAsiaTheme="minorEastAsia" w:cstheme="minorEastAsia"/>
          <w:color w:val="auto"/>
          <w:kern w:val="0"/>
        </w:rPr>
        <w:t>人、美容美体专业（国际美容)学生</w:t>
      </w:r>
      <w:r>
        <w:rPr>
          <w:rFonts w:hint="eastAsia" w:asciiTheme="minorEastAsia" w:hAnsiTheme="minorEastAsia" w:eastAsiaTheme="minorEastAsia" w:cstheme="minorEastAsia"/>
          <w:color w:val="auto"/>
          <w:kern w:val="0"/>
          <w:lang w:val="en-US" w:eastAsia="zh-CN"/>
        </w:rPr>
        <w:t>10</w:t>
      </w:r>
      <w:r>
        <w:rPr>
          <w:rFonts w:hint="eastAsia" w:asciiTheme="minorEastAsia" w:hAnsiTheme="minorEastAsia" w:eastAsiaTheme="minorEastAsia" w:cstheme="minorEastAsia"/>
          <w:color w:val="auto"/>
          <w:kern w:val="0"/>
        </w:rPr>
        <w:t>人、美发与形象设计专业（化妆）学生</w:t>
      </w:r>
      <w:r>
        <w:rPr>
          <w:rFonts w:hint="eastAsia" w:asciiTheme="minorEastAsia" w:hAnsiTheme="minorEastAsia" w:eastAsiaTheme="minorEastAsia" w:cstheme="minorEastAsia"/>
          <w:color w:val="auto"/>
          <w:kern w:val="0"/>
          <w:lang w:val="en-US" w:eastAsia="zh-CN"/>
        </w:rPr>
        <w:t>60</w:t>
      </w:r>
      <w:r>
        <w:rPr>
          <w:rFonts w:hint="eastAsia" w:asciiTheme="minorEastAsia" w:hAnsiTheme="minorEastAsia" w:eastAsiaTheme="minorEastAsia" w:cstheme="minorEastAsia"/>
          <w:color w:val="auto"/>
          <w:kern w:val="0"/>
        </w:rPr>
        <w:t>人，201</w:t>
      </w:r>
      <w:r>
        <w:rPr>
          <w:rFonts w:hint="eastAsia" w:asciiTheme="minorEastAsia" w:hAnsiTheme="minorEastAsia" w:eastAsiaTheme="minorEastAsia" w:cstheme="minorEastAsia"/>
          <w:color w:val="auto"/>
          <w:kern w:val="0"/>
          <w:lang w:val="en-US" w:eastAsia="zh-CN"/>
        </w:rPr>
        <w:t>8</w:t>
      </w:r>
      <w:r>
        <w:rPr>
          <w:rFonts w:hint="eastAsia" w:asciiTheme="minorEastAsia" w:hAnsiTheme="minorEastAsia" w:eastAsiaTheme="minorEastAsia" w:cstheme="minorEastAsia"/>
          <w:color w:val="auto"/>
          <w:kern w:val="0"/>
        </w:rPr>
        <w:t>年度毕业学生</w:t>
      </w:r>
      <w:r>
        <w:rPr>
          <w:rFonts w:hint="eastAsia" w:asciiTheme="minorEastAsia" w:hAnsiTheme="minorEastAsia" w:eastAsiaTheme="minorEastAsia" w:cstheme="minorEastAsia"/>
          <w:color w:val="auto"/>
          <w:kern w:val="0"/>
          <w:lang w:val="en-US" w:eastAsia="zh-CN"/>
        </w:rPr>
        <w:t>36</w:t>
      </w:r>
      <w:r>
        <w:rPr>
          <w:rFonts w:hint="eastAsia" w:asciiTheme="minorEastAsia" w:hAnsiTheme="minorEastAsia" w:eastAsiaTheme="minorEastAsia" w:cstheme="minorEastAsia"/>
          <w:color w:val="auto"/>
          <w:kern w:val="0"/>
        </w:rPr>
        <w:t>人，学生巩固率为1</w:t>
      </w:r>
      <w:r>
        <w:rPr>
          <w:rFonts w:hint="eastAsia" w:asciiTheme="minorEastAsia" w:hAnsiTheme="minorEastAsia" w:eastAsiaTheme="minorEastAsia" w:cstheme="minorEastAsia"/>
          <w:color w:val="auto"/>
          <w:kern w:val="0"/>
          <w:lang w:val="en-US" w:eastAsia="zh-CN"/>
        </w:rPr>
        <w:t>28.57</w:t>
      </w:r>
      <w:r>
        <w:rPr>
          <w:rFonts w:hint="eastAsia" w:asciiTheme="minorEastAsia" w:hAnsiTheme="minorEastAsia" w:eastAsiaTheme="minorEastAsia" w:cstheme="minorEastAsia"/>
          <w:color w:val="auto"/>
          <w:kern w:val="0"/>
        </w:rPr>
        <w:t>%。</w:t>
      </w:r>
    </w:p>
    <w:p>
      <w:pPr>
        <w:spacing w:line="440" w:lineRule="exact"/>
        <w:ind w:firstLine="422" w:firstLineChars="200"/>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图表1.2 201</w:t>
      </w:r>
      <w:r>
        <w:rPr>
          <w:rFonts w:hint="eastAsia" w:asciiTheme="minorEastAsia" w:hAnsiTheme="minorEastAsia" w:eastAsiaTheme="minorEastAsia" w:cstheme="minorEastAsia"/>
          <w:b/>
          <w:bCs/>
          <w:kern w:val="0"/>
          <w:sz w:val="21"/>
          <w:szCs w:val="21"/>
          <w:lang w:val="en-US" w:eastAsia="zh-CN"/>
        </w:rPr>
        <w:t>7</w:t>
      </w:r>
      <w:r>
        <w:rPr>
          <w:rFonts w:hint="eastAsia" w:asciiTheme="minorEastAsia" w:hAnsiTheme="minorEastAsia" w:eastAsiaTheme="minorEastAsia" w:cstheme="minorEastAsia"/>
          <w:b/>
          <w:bCs/>
          <w:kern w:val="0"/>
          <w:sz w:val="21"/>
          <w:szCs w:val="21"/>
        </w:rPr>
        <w:t>年——201</w:t>
      </w:r>
      <w:r>
        <w:rPr>
          <w:rFonts w:hint="eastAsia" w:asciiTheme="minorEastAsia" w:hAnsiTheme="minorEastAsia" w:eastAsiaTheme="minorEastAsia" w:cstheme="minorEastAsia"/>
          <w:b/>
          <w:bCs/>
          <w:kern w:val="0"/>
          <w:sz w:val="21"/>
          <w:szCs w:val="21"/>
          <w:lang w:val="en-US" w:eastAsia="zh-CN"/>
        </w:rPr>
        <w:t>8</w:t>
      </w:r>
      <w:r>
        <w:rPr>
          <w:rFonts w:hint="eastAsia" w:asciiTheme="minorEastAsia" w:hAnsiTheme="minorEastAsia" w:eastAsiaTheme="minorEastAsia" w:cstheme="minorEastAsia"/>
          <w:b/>
          <w:bCs/>
          <w:kern w:val="0"/>
          <w:sz w:val="21"/>
          <w:szCs w:val="21"/>
        </w:rPr>
        <w:t>年中职招生基本情况统计表</w:t>
      </w:r>
    </w:p>
    <w:tbl>
      <w:tblPr>
        <w:tblStyle w:val="14"/>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930"/>
        <w:gridCol w:w="840"/>
        <w:gridCol w:w="855"/>
        <w:gridCol w:w="1050"/>
        <w:gridCol w:w="1395"/>
        <w:gridCol w:w="163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Merge w:val="restart"/>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年号</w:t>
            </w:r>
          </w:p>
        </w:tc>
        <w:tc>
          <w:tcPr>
            <w:tcW w:w="7724" w:type="dxa"/>
            <w:gridSpan w:val="7"/>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中职招生数（人）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Merge w:val="continue"/>
          </w:tcPr>
          <w:p>
            <w:pPr>
              <w:spacing w:line="440" w:lineRule="exact"/>
              <w:jc w:val="center"/>
              <w:rPr>
                <w:rFonts w:asciiTheme="minorEastAsia" w:hAnsiTheme="minorEastAsia" w:eastAsiaTheme="minorEastAsia" w:cstheme="minorEastAsia"/>
                <w:kern w:val="0"/>
                <w:sz w:val="21"/>
                <w:szCs w:val="21"/>
              </w:rPr>
            </w:pPr>
          </w:p>
        </w:tc>
        <w:tc>
          <w:tcPr>
            <w:tcW w:w="93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招生数</w:t>
            </w:r>
          </w:p>
        </w:tc>
        <w:tc>
          <w:tcPr>
            <w:tcW w:w="84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应届</w:t>
            </w:r>
          </w:p>
        </w:tc>
        <w:tc>
          <w:tcPr>
            <w:tcW w:w="855"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往届</w:t>
            </w:r>
          </w:p>
        </w:tc>
        <w:tc>
          <w:tcPr>
            <w:tcW w:w="105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在校生</w:t>
            </w:r>
          </w:p>
        </w:tc>
        <w:tc>
          <w:tcPr>
            <w:tcW w:w="1395"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毕业班人数</w:t>
            </w:r>
          </w:p>
        </w:tc>
        <w:tc>
          <w:tcPr>
            <w:tcW w:w="1635"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毕（结）业人数</w:t>
            </w:r>
          </w:p>
        </w:tc>
        <w:tc>
          <w:tcPr>
            <w:tcW w:w="1019"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巩固率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201</w:t>
            </w:r>
            <w:r>
              <w:rPr>
                <w:rFonts w:hint="eastAsia" w:asciiTheme="minorEastAsia" w:hAnsiTheme="minorEastAsia" w:eastAsiaTheme="minorEastAsia" w:cstheme="minorEastAsia"/>
                <w:color w:val="auto"/>
                <w:kern w:val="0"/>
                <w:sz w:val="21"/>
                <w:szCs w:val="21"/>
                <w:lang w:val="en-US" w:eastAsia="zh-CN"/>
              </w:rPr>
              <w:t>8</w:t>
            </w:r>
          </w:p>
        </w:tc>
        <w:tc>
          <w:tcPr>
            <w:tcW w:w="930"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27</w:t>
            </w:r>
          </w:p>
        </w:tc>
        <w:tc>
          <w:tcPr>
            <w:tcW w:w="840"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11</w:t>
            </w:r>
          </w:p>
        </w:tc>
        <w:tc>
          <w:tcPr>
            <w:tcW w:w="855"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16</w:t>
            </w:r>
          </w:p>
        </w:tc>
        <w:tc>
          <w:tcPr>
            <w:tcW w:w="1050"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116</w:t>
            </w:r>
          </w:p>
        </w:tc>
        <w:tc>
          <w:tcPr>
            <w:tcW w:w="1395"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36</w:t>
            </w:r>
          </w:p>
        </w:tc>
        <w:tc>
          <w:tcPr>
            <w:tcW w:w="1635" w:type="dxa"/>
            <w:vAlign w:val="top"/>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36</w:t>
            </w:r>
          </w:p>
        </w:tc>
        <w:tc>
          <w:tcPr>
            <w:tcW w:w="1019" w:type="dxa"/>
            <w:vAlign w:val="top"/>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128.57%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2019</w:t>
            </w:r>
          </w:p>
        </w:tc>
        <w:tc>
          <w:tcPr>
            <w:tcW w:w="930"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31</w:t>
            </w:r>
          </w:p>
        </w:tc>
        <w:tc>
          <w:tcPr>
            <w:tcW w:w="840"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31</w:t>
            </w:r>
          </w:p>
        </w:tc>
        <w:tc>
          <w:tcPr>
            <w:tcW w:w="855"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0</w:t>
            </w:r>
          </w:p>
        </w:tc>
        <w:tc>
          <w:tcPr>
            <w:tcW w:w="1050"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108</w:t>
            </w:r>
          </w:p>
        </w:tc>
        <w:tc>
          <w:tcPr>
            <w:tcW w:w="1395"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44</w:t>
            </w:r>
          </w:p>
        </w:tc>
        <w:tc>
          <w:tcPr>
            <w:tcW w:w="1635"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44</w:t>
            </w:r>
          </w:p>
        </w:tc>
        <w:tc>
          <w:tcPr>
            <w:tcW w:w="1019"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96" w:type="dxa"/>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变化</w:t>
            </w:r>
          </w:p>
        </w:tc>
        <w:tc>
          <w:tcPr>
            <w:tcW w:w="930" w:type="dxa"/>
          </w:tcPr>
          <w:p>
            <w:pPr>
              <w:spacing w:line="440" w:lineRule="exact"/>
              <w:jc w:val="both"/>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增加4</w:t>
            </w:r>
            <w:r>
              <w:rPr>
                <w:rFonts w:hint="eastAsia" w:asciiTheme="minorEastAsia" w:hAnsiTheme="minorEastAsia" w:eastAsiaTheme="minorEastAsia" w:cstheme="minorEastAsia"/>
                <w:color w:val="auto"/>
                <w:kern w:val="0"/>
                <w:sz w:val="21"/>
                <w:szCs w:val="21"/>
              </w:rPr>
              <w:t>人</w:t>
            </w:r>
          </w:p>
        </w:tc>
        <w:tc>
          <w:tcPr>
            <w:tcW w:w="840"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增加20人</w:t>
            </w:r>
          </w:p>
        </w:tc>
        <w:tc>
          <w:tcPr>
            <w:tcW w:w="855" w:type="dxa"/>
          </w:tcPr>
          <w:p>
            <w:pPr>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eastAsia="zh-CN"/>
              </w:rPr>
              <w:t>减少</w:t>
            </w:r>
            <w:r>
              <w:rPr>
                <w:rFonts w:hint="eastAsia" w:asciiTheme="minorEastAsia" w:hAnsiTheme="minorEastAsia" w:eastAsiaTheme="minorEastAsia" w:cstheme="minorEastAsia"/>
                <w:color w:val="auto"/>
                <w:kern w:val="0"/>
                <w:sz w:val="21"/>
                <w:szCs w:val="21"/>
                <w:lang w:val="en-US" w:eastAsia="zh-CN"/>
              </w:rPr>
              <w:t>16人</w:t>
            </w:r>
          </w:p>
        </w:tc>
        <w:tc>
          <w:tcPr>
            <w:tcW w:w="1050" w:type="dxa"/>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减少8人</w:t>
            </w:r>
          </w:p>
        </w:tc>
        <w:tc>
          <w:tcPr>
            <w:tcW w:w="1395" w:type="dxa"/>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增加</w:t>
            </w:r>
            <w:r>
              <w:rPr>
                <w:rFonts w:hint="eastAsia" w:asciiTheme="minorEastAsia" w:hAnsiTheme="minorEastAsia" w:eastAsia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kern w:val="0"/>
                <w:sz w:val="21"/>
                <w:szCs w:val="21"/>
              </w:rPr>
              <w:t>人</w:t>
            </w:r>
          </w:p>
        </w:tc>
        <w:tc>
          <w:tcPr>
            <w:tcW w:w="1635" w:type="dxa"/>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增加</w:t>
            </w:r>
            <w:r>
              <w:rPr>
                <w:rFonts w:hint="eastAsia" w:asciiTheme="minorEastAsia" w:hAnsiTheme="minorEastAsia" w:eastAsiaTheme="minorEastAsia" w:cstheme="minorEastAsia"/>
                <w:color w:val="auto"/>
                <w:kern w:val="0"/>
                <w:sz w:val="21"/>
                <w:szCs w:val="21"/>
                <w:lang w:val="en-US" w:eastAsia="zh-CN"/>
              </w:rPr>
              <w:t>8</w:t>
            </w:r>
            <w:r>
              <w:rPr>
                <w:rFonts w:hint="eastAsia" w:asciiTheme="minorEastAsia" w:hAnsiTheme="minorEastAsia" w:eastAsiaTheme="minorEastAsia" w:cstheme="minorEastAsia"/>
                <w:color w:val="auto"/>
                <w:kern w:val="0"/>
                <w:sz w:val="21"/>
                <w:szCs w:val="21"/>
              </w:rPr>
              <w:t>人</w:t>
            </w:r>
          </w:p>
        </w:tc>
        <w:tc>
          <w:tcPr>
            <w:tcW w:w="1019" w:type="dxa"/>
          </w:tcPr>
          <w:p>
            <w:pPr>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eastAsia="zh-CN"/>
              </w:rPr>
              <w:t>增加</w:t>
            </w:r>
            <w:r>
              <w:rPr>
                <w:rFonts w:hint="eastAsia" w:asciiTheme="minorEastAsia" w:hAnsiTheme="minorEastAsia" w:eastAsiaTheme="minorEastAsia" w:cstheme="minorEastAsia"/>
                <w:color w:val="auto"/>
                <w:kern w:val="0"/>
                <w:sz w:val="21"/>
                <w:szCs w:val="21"/>
                <w:lang w:val="en-US" w:eastAsia="zh-CN"/>
              </w:rPr>
              <w:t>13.99</w:t>
            </w:r>
            <w:r>
              <w:rPr>
                <w:rFonts w:hint="eastAsia" w:asciiTheme="minorEastAsia" w:hAnsiTheme="minorEastAsia" w:eastAsiaTheme="minorEastAsia" w:cstheme="minorEastAsia"/>
                <w:color w:val="auto"/>
                <w:kern w:val="0"/>
                <w:sz w:val="21"/>
                <w:szCs w:val="21"/>
              </w:rPr>
              <w:t>%</w:t>
            </w:r>
          </w:p>
        </w:tc>
      </w:tr>
    </w:tbl>
    <w:p>
      <w:pPr>
        <w:spacing w:line="440" w:lineRule="exact"/>
        <w:rPr>
          <w:rFonts w:asciiTheme="minorEastAsia" w:hAnsiTheme="minorEastAsia" w:eastAsiaTheme="minorEastAsia" w:cstheme="minorEastAsia"/>
          <w:kern w:val="0"/>
        </w:rPr>
      </w:pPr>
    </w:p>
    <w:p>
      <w:pPr>
        <w:pStyle w:val="3"/>
        <w:spacing w:line="440" w:lineRule="exact"/>
        <w:rPr>
          <w:rFonts w:ascii="黑体" w:hAnsi="黑体" w:cs="黑体"/>
        </w:rPr>
      </w:pPr>
      <w:bookmarkStart w:id="9" w:name="_Toc7869"/>
      <w:r>
        <w:rPr>
          <w:rFonts w:hint="eastAsia" w:ascii="黑体" w:hAnsi="黑体" w:cs="黑体"/>
        </w:rPr>
        <w:t>1.3教师队伍</w:t>
      </w:r>
      <w:bookmarkEnd w:id="9"/>
    </w:p>
    <w:p>
      <w:pPr>
        <w:spacing w:line="440" w:lineRule="exact"/>
        <w:ind w:firstLine="480" w:firstLineChars="200"/>
        <w:rPr>
          <w:rFonts w:asciiTheme="minorEastAsia" w:hAnsiTheme="minorEastAsia" w:eastAsiaTheme="minorEastAsia" w:cstheme="minorEastAsia"/>
        </w:rPr>
      </w:pPr>
      <w:r>
        <w:rPr>
          <w:rFonts w:hint="eastAsia"/>
        </w:rPr>
        <w:t>2</w:t>
      </w:r>
      <w:r>
        <w:rPr>
          <w:rFonts w:hint="eastAsia" w:asciiTheme="minorEastAsia" w:hAnsiTheme="minorEastAsia" w:eastAsiaTheme="minorEastAsia" w:cstheme="minorEastAsia"/>
        </w:rPr>
        <w:t>01</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年，学校教师总数为2</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人，其中专任教师1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人（含兼职教师</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人），行政人员10人，师生比为1：</w:t>
      </w:r>
      <w:r>
        <w:rPr>
          <w:rFonts w:hint="eastAsia" w:asciiTheme="minorEastAsia" w:hAnsiTheme="minorEastAsia" w:eastAsiaTheme="minorEastAsia" w:cstheme="minorEastAsia"/>
          <w:lang w:val="en-US" w:eastAsia="zh-CN"/>
        </w:rPr>
        <w:t>4.7</w:t>
      </w:r>
      <w:r>
        <w:rPr>
          <w:rFonts w:hint="eastAsia" w:asciiTheme="minorEastAsia" w:hAnsiTheme="minorEastAsia" w:eastAsiaTheme="minorEastAsia" w:cstheme="minorEastAsia"/>
        </w:rPr>
        <w:t>，教师中大专以上学历占62.96%，高级职称占70.37%.对符合条件并有培养价值的人才，采用“引进与培养相结合”的方式吸引到教师队伍中来。每年学校都会为所有专业课的教师提供至少两次外出考察、学习、交流或专业技术深造的机会；鼓励没有学历的教职工参加自考、成考等高等教育，获得国家承认的学历后予以报销学费。因专业特点，学校目前以优化“双师”结构为师资队伍建设重点， 通过培训、外出学习、参加技能大赛等形式不断提高实际工作技能和社会实践经验。</w:t>
      </w:r>
    </w:p>
    <w:p>
      <w:pPr>
        <w:spacing w:line="440" w:lineRule="exact"/>
        <w:ind w:firstLine="422" w:firstLineChars="200"/>
        <w:jc w:val="center"/>
        <w:rPr>
          <w:rFonts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 xml:space="preserve">            图表1.3 201</w:t>
      </w:r>
      <w:r>
        <w:rPr>
          <w:rFonts w:hint="eastAsia" w:asciiTheme="minorEastAsia" w:hAnsiTheme="minorEastAsia" w:eastAsiaTheme="minorEastAsia" w:cstheme="minorEastAsia"/>
          <w:b/>
          <w:bCs/>
          <w:kern w:val="0"/>
          <w:sz w:val="21"/>
          <w:szCs w:val="21"/>
          <w:lang w:val="en-US" w:eastAsia="zh-CN"/>
        </w:rPr>
        <w:t>7</w:t>
      </w:r>
      <w:r>
        <w:rPr>
          <w:rFonts w:hint="eastAsia" w:asciiTheme="minorEastAsia" w:hAnsiTheme="minorEastAsia" w:eastAsiaTheme="minorEastAsia" w:cstheme="minorEastAsia"/>
          <w:b/>
          <w:bCs/>
          <w:kern w:val="0"/>
          <w:sz w:val="21"/>
          <w:szCs w:val="21"/>
        </w:rPr>
        <w:t>——201</w:t>
      </w:r>
      <w:r>
        <w:rPr>
          <w:rFonts w:hint="eastAsia" w:asciiTheme="minorEastAsia" w:hAnsiTheme="minorEastAsia" w:eastAsiaTheme="minorEastAsia" w:cstheme="minorEastAsia"/>
          <w:b/>
          <w:bCs/>
          <w:kern w:val="0"/>
          <w:sz w:val="21"/>
          <w:szCs w:val="21"/>
          <w:lang w:val="en-US" w:eastAsia="zh-CN"/>
        </w:rPr>
        <w:t>8</w:t>
      </w:r>
      <w:r>
        <w:rPr>
          <w:rFonts w:hint="eastAsia" w:asciiTheme="minorEastAsia" w:hAnsiTheme="minorEastAsia" w:eastAsiaTheme="minorEastAsia" w:cstheme="minorEastAsia"/>
          <w:b/>
          <w:bCs/>
          <w:kern w:val="0"/>
          <w:sz w:val="21"/>
          <w:szCs w:val="21"/>
        </w:rPr>
        <w:t>学校教师队伍变化统计表           单位：人</w:t>
      </w:r>
    </w:p>
    <w:tbl>
      <w:tblPr>
        <w:tblStyle w:val="14"/>
        <w:tblW w:w="8670" w:type="dxa"/>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080"/>
        <w:gridCol w:w="1125"/>
        <w:gridCol w:w="1140"/>
        <w:gridCol w:w="1125"/>
        <w:gridCol w:w="1290"/>
        <w:gridCol w:w="10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7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年号</w:t>
            </w:r>
          </w:p>
        </w:tc>
        <w:tc>
          <w:tcPr>
            <w:tcW w:w="108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教职工</w:t>
            </w:r>
          </w:p>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总数</w:t>
            </w:r>
          </w:p>
        </w:tc>
        <w:tc>
          <w:tcPr>
            <w:tcW w:w="1125"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专任教师总数</w:t>
            </w:r>
          </w:p>
        </w:tc>
        <w:tc>
          <w:tcPr>
            <w:tcW w:w="114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专业教师总数</w:t>
            </w:r>
          </w:p>
        </w:tc>
        <w:tc>
          <w:tcPr>
            <w:tcW w:w="1125"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兼职教师总数</w:t>
            </w:r>
          </w:p>
        </w:tc>
        <w:tc>
          <w:tcPr>
            <w:tcW w:w="129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教师本科以上学历</w:t>
            </w:r>
          </w:p>
        </w:tc>
        <w:tc>
          <w:tcPr>
            <w:tcW w:w="105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教师高级职称</w:t>
            </w:r>
          </w:p>
        </w:tc>
        <w:tc>
          <w:tcPr>
            <w:tcW w:w="99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0"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w:t>
            </w:r>
            <w:r>
              <w:rPr>
                <w:rFonts w:hint="eastAsia" w:asciiTheme="minorEastAsia" w:hAnsiTheme="minorEastAsia" w:eastAsiaTheme="minorEastAsia" w:cstheme="minorEastAsia"/>
                <w:kern w:val="0"/>
                <w:sz w:val="21"/>
                <w:szCs w:val="21"/>
                <w:lang w:val="en-US" w:eastAsia="zh-CN"/>
              </w:rPr>
              <w:t>8</w:t>
            </w:r>
          </w:p>
        </w:tc>
        <w:tc>
          <w:tcPr>
            <w:tcW w:w="1080"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27</w:t>
            </w:r>
          </w:p>
        </w:tc>
        <w:tc>
          <w:tcPr>
            <w:tcW w:w="1125"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17</w:t>
            </w:r>
          </w:p>
        </w:tc>
        <w:tc>
          <w:tcPr>
            <w:tcW w:w="1140"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w:t>
            </w:r>
          </w:p>
        </w:tc>
        <w:tc>
          <w:tcPr>
            <w:tcW w:w="1125"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1290"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1050"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19</w:t>
            </w:r>
          </w:p>
        </w:tc>
        <w:tc>
          <w:tcPr>
            <w:tcW w:w="990" w:type="dxa"/>
            <w:vAlign w:val="top"/>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70"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2019</w:t>
            </w:r>
          </w:p>
        </w:tc>
        <w:tc>
          <w:tcPr>
            <w:tcW w:w="1080"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23</w:t>
            </w:r>
          </w:p>
        </w:tc>
        <w:tc>
          <w:tcPr>
            <w:tcW w:w="1125"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13</w:t>
            </w:r>
          </w:p>
        </w:tc>
        <w:tc>
          <w:tcPr>
            <w:tcW w:w="1140"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w:t>
            </w:r>
          </w:p>
        </w:tc>
        <w:tc>
          <w:tcPr>
            <w:tcW w:w="1125"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1290"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6</w:t>
            </w:r>
          </w:p>
        </w:tc>
        <w:tc>
          <w:tcPr>
            <w:tcW w:w="1050"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19</w:t>
            </w:r>
          </w:p>
        </w:tc>
        <w:tc>
          <w:tcPr>
            <w:tcW w:w="990" w:type="dxa"/>
          </w:tcPr>
          <w:p>
            <w:pPr>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870" w:type="dxa"/>
          </w:tcPr>
          <w:p>
            <w:pPr>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备注</w:t>
            </w:r>
          </w:p>
        </w:tc>
        <w:tc>
          <w:tcPr>
            <w:tcW w:w="7800" w:type="dxa"/>
            <w:gridSpan w:val="7"/>
          </w:tcPr>
          <w:p>
            <w:pPr>
              <w:spacing w:line="4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同去年相比，20</w:t>
            </w:r>
            <w:r>
              <w:rPr>
                <w:rFonts w:hint="eastAsia" w:asciiTheme="minorEastAsia" w:hAnsiTheme="minorEastAsia" w:eastAsiaTheme="minorEastAsia" w:cstheme="minorEastAsia"/>
                <w:kern w:val="0"/>
                <w:sz w:val="21"/>
                <w:szCs w:val="21"/>
                <w:lang w:val="en-US" w:eastAsia="zh-CN"/>
              </w:rPr>
              <w:t>19</w:t>
            </w:r>
            <w:r>
              <w:rPr>
                <w:rFonts w:hint="eastAsia" w:asciiTheme="minorEastAsia" w:hAnsiTheme="minorEastAsia" w:eastAsiaTheme="minorEastAsia" w:cstheme="minorEastAsia"/>
                <w:kern w:val="0"/>
                <w:sz w:val="21"/>
                <w:szCs w:val="21"/>
              </w:rPr>
              <w:t>年教职工总数减少</w:t>
            </w:r>
            <w:r>
              <w:rPr>
                <w:rFonts w:hint="eastAsia" w:asciiTheme="minorEastAsia" w:hAnsiTheme="minorEastAsia" w:eastAsiaTheme="minorEastAsia" w:cstheme="minorEastAsia"/>
                <w:kern w:val="0"/>
                <w:sz w:val="21"/>
                <w:szCs w:val="21"/>
                <w:lang w:eastAsia="zh-CN"/>
              </w:rPr>
              <w:t>四</w:t>
            </w:r>
            <w:r>
              <w:rPr>
                <w:rFonts w:hint="eastAsia" w:asciiTheme="minorEastAsia" w:hAnsiTheme="minorEastAsia" w:eastAsiaTheme="minorEastAsia" w:cstheme="minorEastAsia"/>
                <w:kern w:val="0"/>
                <w:sz w:val="21"/>
                <w:szCs w:val="21"/>
              </w:rPr>
              <w:t>人，专任教师占比62.96% ，专业教师占比</w:t>
            </w:r>
            <w:r>
              <w:rPr>
                <w:rFonts w:hint="eastAsia" w:asciiTheme="minorEastAsia" w:hAnsiTheme="minorEastAsia" w:eastAsiaTheme="minorEastAsia" w:cstheme="minorEastAsia"/>
                <w:kern w:val="0"/>
                <w:sz w:val="21"/>
                <w:szCs w:val="21"/>
                <w:lang w:val="en-US" w:eastAsia="zh-CN"/>
              </w:rPr>
              <w:t>56.52</w:t>
            </w:r>
            <w:r>
              <w:rPr>
                <w:rFonts w:hint="eastAsia" w:asciiTheme="minorEastAsia" w:hAnsiTheme="minorEastAsia" w:eastAsiaTheme="minorEastAsia" w:cstheme="minorEastAsia"/>
                <w:kern w:val="0"/>
                <w:sz w:val="21"/>
                <w:szCs w:val="21"/>
              </w:rPr>
              <w:t>% ，兼职教师占比</w:t>
            </w:r>
            <w:r>
              <w:rPr>
                <w:rFonts w:hint="eastAsia" w:asciiTheme="minorEastAsia" w:hAnsiTheme="minorEastAsia" w:eastAsiaTheme="minorEastAsia" w:cstheme="minorEastAsia"/>
                <w:kern w:val="0"/>
                <w:sz w:val="21"/>
                <w:szCs w:val="21"/>
                <w:lang w:val="en-US" w:eastAsia="zh-CN"/>
              </w:rPr>
              <w:t>13.04</w:t>
            </w:r>
            <w:r>
              <w:rPr>
                <w:rFonts w:hint="eastAsia" w:asciiTheme="minorEastAsia" w:hAnsiTheme="minorEastAsia" w:eastAsiaTheme="minorEastAsia" w:cstheme="minorEastAsia"/>
                <w:kern w:val="0"/>
                <w:sz w:val="21"/>
                <w:szCs w:val="21"/>
              </w:rPr>
              <w:t>% ，本科学历占比</w:t>
            </w:r>
            <w:r>
              <w:rPr>
                <w:rFonts w:hint="eastAsia" w:asciiTheme="minorEastAsia" w:hAnsiTheme="minorEastAsia" w:eastAsiaTheme="minorEastAsia" w:cstheme="minorEastAsia"/>
                <w:kern w:val="0"/>
                <w:sz w:val="21"/>
                <w:szCs w:val="21"/>
                <w:lang w:val="en-US" w:eastAsia="zh-CN"/>
              </w:rPr>
              <w:t>26.09</w:t>
            </w:r>
            <w:r>
              <w:rPr>
                <w:rFonts w:hint="eastAsia" w:asciiTheme="minorEastAsia" w:hAnsiTheme="minorEastAsia" w:eastAsiaTheme="minorEastAsia" w:cstheme="minorEastAsia"/>
                <w:kern w:val="0"/>
                <w:sz w:val="21"/>
                <w:szCs w:val="21"/>
              </w:rPr>
              <w:t>%， 高级职称占比</w:t>
            </w:r>
            <w:r>
              <w:rPr>
                <w:rFonts w:hint="eastAsia" w:asciiTheme="minorEastAsia" w:hAnsiTheme="minorEastAsia" w:eastAsiaTheme="minorEastAsia" w:cstheme="minorEastAsia"/>
                <w:kern w:val="0"/>
                <w:sz w:val="21"/>
                <w:szCs w:val="21"/>
                <w:lang w:val="en-US" w:eastAsia="zh-CN"/>
              </w:rPr>
              <w:t>82.61</w:t>
            </w:r>
            <w:r>
              <w:rPr>
                <w:rFonts w:hint="eastAsia" w:asciiTheme="minorEastAsia" w:hAnsiTheme="minorEastAsia" w:eastAsiaTheme="minorEastAsia" w:cstheme="minorEastAsia"/>
                <w:kern w:val="0"/>
                <w:sz w:val="21"/>
                <w:szCs w:val="21"/>
              </w:rPr>
              <w:t>% ，师生比为1：4.</w:t>
            </w:r>
            <w:r>
              <w:rPr>
                <w:rFonts w:hint="eastAsia" w:asciiTheme="minorEastAsia" w:hAnsiTheme="minorEastAsia" w:eastAsiaTheme="minorEastAsia" w:cstheme="minorEastAsia"/>
                <w:kern w:val="0"/>
                <w:sz w:val="21"/>
                <w:szCs w:val="21"/>
                <w:lang w:val="en-US" w:eastAsia="zh-CN"/>
              </w:rPr>
              <w:t>7</w:t>
            </w:r>
            <w:r>
              <w:rPr>
                <w:rFonts w:hint="eastAsia" w:asciiTheme="minorEastAsia" w:hAnsiTheme="minorEastAsia" w:eastAsiaTheme="minorEastAsia" w:cstheme="minorEastAsia"/>
                <w:kern w:val="0"/>
                <w:sz w:val="21"/>
                <w:szCs w:val="21"/>
              </w:rPr>
              <w:t>。</w:t>
            </w:r>
          </w:p>
        </w:tc>
      </w:tr>
    </w:tbl>
    <w:p>
      <w:pPr>
        <w:pStyle w:val="3"/>
        <w:spacing w:line="440" w:lineRule="exact"/>
        <w:rPr>
          <w:rFonts w:ascii="黑体" w:hAnsi="黑体" w:cs="黑体"/>
        </w:rPr>
      </w:pPr>
      <w:bookmarkStart w:id="10" w:name="_Toc517"/>
      <w:r>
        <w:rPr>
          <w:rFonts w:hint="eastAsia" w:ascii="黑体" w:hAnsi="黑体" w:cs="黑体"/>
        </w:rPr>
        <w:t>1.4设施设备</w:t>
      </w:r>
      <w:bookmarkEnd w:id="10"/>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学校教学仪器设备丰富，完全可以满足实习实训需求，现学校洗头床、烫发机、美容床、美容仪器、婚纱、饰品等设施设备共计300余件，总投资70万元，新增校外合作实训点8个，共计为100余名学员提供实训实操机会。</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rPr>
        <w:t>图表1.4 201</w:t>
      </w:r>
      <w:r>
        <w:rPr>
          <w:rFonts w:hint="eastAsia" w:asciiTheme="minorEastAsia" w:hAnsiTheme="minorEastAsia" w:eastAsiaTheme="minorEastAsia" w:cstheme="minorEastAsia"/>
          <w:b/>
          <w:bCs/>
          <w:kern w:val="0"/>
          <w:sz w:val="21"/>
          <w:szCs w:val="21"/>
          <w:lang w:val="en-US" w:eastAsia="zh-CN"/>
        </w:rPr>
        <w:t>7</w:t>
      </w:r>
      <w:r>
        <w:rPr>
          <w:rFonts w:hint="eastAsia" w:asciiTheme="minorEastAsia" w:hAnsiTheme="minorEastAsia" w:eastAsiaTheme="minorEastAsia" w:cstheme="minorEastAsia"/>
          <w:b/>
          <w:bCs/>
          <w:kern w:val="0"/>
          <w:sz w:val="21"/>
          <w:szCs w:val="21"/>
        </w:rPr>
        <w:t>——201</w:t>
      </w:r>
      <w:r>
        <w:rPr>
          <w:rFonts w:hint="eastAsia" w:asciiTheme="minorEastAsia" w:hAnsiTheme="minorEastAsia" w:eastAsiaTheme="minorEastAsia" w:cstheme="minorEastAsia"/>
          <w:b/>
          <w:bCs/>
          <w:kern w:val="0"/>
          <w:sz w:val="21"/>
          <w:szCs w:val="21"/>
          <w:lang w:val="en-US" w:eastAsia="zh-CN"/>
        </w:rPr>
        <w:t>8</w:t>
      </w:r>
      <w:r>
        <w:rPr>
          <w:rFonts w:hint="eastAsia" w:asciiTheme="minorEastAsia" w:hAnsiTheme="minorEastAsia" w:eastAsiaTheme="minorEastAsia" w:cstheme="minorEastAsia"/>
          <w:b/>
          <w:bCs/>
          <w:kern w:val="0"/>
          <w:sz w:val="21"/>
          <w:szCs w:val="21"/>
        </w:rPr>
        <w:t>学校设施设备变化统计表</w:t>
      </w:r>
    </w:p>
    <w:tbl>
      <w:tblPr>
        <w:tblStyle w:val="14"/>
        <w:tblW w:w="870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3059"/>
        <w:gridCol w:w="2251"/>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c>
          <w:tcPr>
            <w:tcW w:w="3059"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教学仪器值（万元）</w:t>
            </w:r>
          </w:p>
        </w:tc>
        <w:tc>
          <w:tcPr>
            <w:tcW w:w="225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实习工位（个）</w:t>
            </w:r>
          </w:p>
        </w:tc>
        <w:tc>
          <w:tcPr>
            <w:tcW w:w="208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纸质图书（册）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0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年</w:t>
            </w:r>
          </w:p>
        </w:tc>
        <w:tc>
          <w:tcPr>
            <w:tcW w:w="3059" w:type="dxa"/>
            <w:vAlign w:val="top"/>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70</w:t>
            </w:r>
          </w:p>
        </w:tc>
        <w:tc>
          <w:tcPr>
            <w:tcW w:w="225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150个</w:t>
            </w:r>
          </w:p>
        </w:tc>
        <w:tc>
          <w:tcPr>
            <w:tcW w:w="208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w:t>
            </w:r>
          </w:p>
        </w:tc>
        <w:tc>
          <w:tcPr>
            <w:tcW w:w="3059" w:type="dxa"/>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70</w:t>
            </w:r>
          </w:p>
        </w:tc>
        <w:tc>
          <w:tcPr>
            <w:tcW w:w="2251"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150个</w:t>
            </w:r>
          </w:p>
        </w:tc>
        <w:tc>
          <w:tcPr>
            <w:tcW w:w="208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21000册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变化趋势</w:t>
            </w:r>
          </w:p>
        </w:tc>
        <w:tc>
          <w:tcPr>
            <w:tcW w:w="3059" w:type="dxa"/>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无变化</w:t>
            </w:r>
          </w:p>
        </w:tc>
        <w:tc>
          <w:tcPr>
            <w:tcW w:w="2251" w:type="dxa"/>
          </w:tcPr>
          <w:p>
            <w:pPr>
              <w:spacing w:line="4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无变化</w:t>
            </w:r>
          </w:p>
        </w:tc>
        <w:tc>
          <w:tcPr>
            <w:tcW w:w="208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无变化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生均数</w:t>
            </w:r>
          </w:p>
        </w:tc>
        <w:tc>
          <w:tcPr>
            <w:tcW w:w="3059" w:type="dxa"/>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0.6</w:t>
            </w:r>
          </w:p>
        </w:tc>
        <w:tc>
          <w:tcPr>
            <w:tcW w:w="225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29</w:t>
            </w:r>
            <w:r>
              <w:rPr>
                <w:rFonts w:hint="eastAsia" w:asciiTheme="minorEastAsia" w:hAnsiTheme="minorEastAsia" w:eastAsiaTheme="minorEastAsia" w:cstheme="minorEastAsia"/>
                <w:sz w:val="21"/>
                <w:szCs w:val="21"/>
              </w:rPr>
              <w:t>个</w:t>
            </w:r>
          </w:p>
        </w:tc>
        <w:tc>
          <w:tcPr>
            <w:tcW w:w="208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lang w:val="en-US" w:eastAsia="zh-CN"/>
              </w:rPr>
              <w:t>81</w:t>
            </w:r>
            <w:r>
              <w:rPr>
                <w:rFonts w:hint="eastAsia" w:asciiTheme="minorEastAsia" w:hAnsiTheme="minorEastAsia" w:eastAsiaTheme="minorEastAsia" w:cstheme="minorEastAsia"/>
                <w:sz w:val="21"/>
                <w:szCs w:val="21"/>
              </w:rPr>
              <w:t>册</w:t>
            </w:r>
          </w:p>
        </w:tc>
      </w:tr>
    </w:tbl>
    <w:p>
      <w:pPr>
        <w:pStyle w:val="3"/>
        <w:spacing w:line="440" w:lineRule="exact"/>
        <w:rPr>
          <w:rFonts w:ascii="黑体" w:hAnsi="黑体" w:cs="黑体"/>
        </w:rPr>
      </w:pPr>
      <w:bookmarkStart w:id="11" w:name="_Toc709"/>
      <w:r>
        <w:rPr>
          <w:rFonts w:hint="eastAsia" w:ascii="黑体" w:hAnsi="黑体" w:cs="黑体"/>
        </w:rPr>
        <w:t>1.5校内信息化建设</w:t>
      </w:r>
      <w:bookmarkEnd w:id="11"/>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为了全面推进学校教育、教学及管理的信息化建设，进一步提升广大师生的信息素养和驾御信息技术的能力，提高学校教育信息化的应用水平和效能，锤炼学校信息化办学特色, 在全体教职员工的共同努力下，通过健全、完善学校现有的校园网络、信息技术设备管理等管理办法和制度，形成学校齐全、规范的信息化管理规章制度。充分发挥网络优势，建设具有校本特色的网络信息化教育，提高办学效益。</w:t>
      </w:r>
    </w:p>
    <w:p>
      <w:pPr>
        <w:adjustRightInd w:val="0"/>
        <w:spacing w:line="44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图表1.5 201</w:t>
      </w: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rPr>
        <w:t>--201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年学校信息化建设进展情况</w:t>
      </w:r>
    </w:p>
    <w:tbl>
      <w:tblPr>
        <w:tblStyle w:val="13"/>
        <w:tblW w:w="8790" w:type="dxa"/>
        <w:tblInd w:w="49" w:type="dxa"/>
        <w:tblLayout w:type="fixed"/>
        <w:tblCellMar>
          <w:top w:w="0" w:type="dxa"/>
          <w:left w:w="108" w:type="dxa"/>
          <w:bottom w:w="0" w:type="dxa"/>
          <w:right w:w="108" w:type="dxa"/>
        </w:tblCellMar>
      </w:tblPr>
      <w:tblGrid>
        <w:gridCol w:w="720"/>
        <w:gridCol w:w="690"/>
        <w:gridCol w:w="660"/>
        <w:gridCol w:w="570"/>
        <w:gridCol w:w="660"/>
        <w:gridCol w:w="525"/>
        <w:gridCol w:w="495"/>
        <w:gridCol w:w="705"/>
        <w:gridCol w:w="570"/>
        <w:gridCol w:w="660"/>
        <w:gridCol w:w="585"/>
        <w:gridCol w:w="690"/>
        <w:gridCol w:w="525"/>
        <w:gridCol w:w="735"/>
      </w:tblGrid>
      <w:tr>
        <w:tblPrEx>
          <w:tblLayout w:type="fixed"/>
          <w:tblCellMar>
            <w:top w:w="0" w:type="dxa"/>
            <w:left w:w="108" w:type="dxa"/>
            <w:bottom w:w="0" w:type="dxa"/>
            <w:right w:w="108" w:type="dxa"/>
          </w:tblCellMar>
        </w:tblPrEx>
        <w:trPr>
          <w:trHeight w:val="334" w:hRule="atLeast"/>
        </w:trPr>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年段</w:t>
            </w:r>
          </w:p>
        </w:tc>
        <w:tc>
          <w:tcPr>
            <w:tcW w:w="690" w:type="dxa"/>
            <w:vMerge w:val="restart"/>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p>
          <w:p>
            <w:pPr>
              <w:spacing w:line="440" w:lineRule="exact"/>
              <w:jc w:val="center"/>
              <w:rPr>
                <w:rFonts w:asciiTheme="minorEastAsia" w:hAnsiTheme="minorEastAsia" w:eastAsiaTheme="minorEastAsia" w:cstheme="minorEastAsia"/>
                <w:sz w:val="21"/>
                <w:szCs w:val="21"/>
              </w:rPr>
            </w:pPr>
          </w:p>
          <w:p>
            <w:pPr>
              <w:spacing w:line="440" w:lineRule="exact"/>
              <w:jc w:val="center"/>
              <w:rPr>
                <w:rFonts w:asciiTheme="minorEastAsia" w:hAnsiTheme="minorEastAsia" w:eastAsiaTheme="minorEastAsia" w:cstheme="minorEastAsia"/>
                <w:sz w:val="21"/>
                <w:szCs w:val="21"/>
              </w:rPr>
            </w:pPr>
          </w:p>
          <w:p>
            <w:pPr>
              <w:spacing w:line="440" w:lineRule="exact"/>
              <w:ind w:firstLine="210" w:firstLineChars="1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w:t>
            </w:r>
          </w:p>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生</w:t>
            </w:r>
          </w:p>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数</w:t>
            </w:r>
          </w:p>
        </w:tc>
        <w:tc>
          <w:tcPr>
            <w:tcW w:w="1890" w:type="dxa"/>
            <w:gridSpan w:val="3"/>
            <w:vMerge w:val="restart"/>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校校通-校园网</w:t>
            </w:r>
          </w:p>
        </w:tc>
        <w:tc>
          <w:tcPr>
            <w:tcW w:w="5490" w:type="dxa"/>
            <w:gridSpan w:val="9"/>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校校通—多媒体教室</w:t>
            </w:r>
          </w:p>
        </w:tc>
      </w:tr>
      <w:tr>
        <w:tblPrEx>
          <w:tblLayout w:type="fixed"/>
          <w:tblCellMar>
            <w:top w:w="0" w:type="dxa"/>
            <w:left w:w="108" w:type="dxa"/>
            <w:bottom w:w="0" w:type="dxa"/>
            <w:right w:w="108" w:type="dxa"/>
          </w:tblCellMar>
        </w:tblPrEx>
        <w:trPr>
          <w:trHeight w:val="359"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heme="minorEastAsia" w:hAnsiTheme="minorEastAsia" w:eastAsiaTheme="minorEastAsia" w:cstheme="minorEastAsia"/>
                <w:sz w:val="21"/>
                <w:szCs w:val="21"/>
              </w:rPr>
            </w:pPr>
          </w:p>
        </w:tc>
        <w:tc>
          <w:tcPr>
            <w:tcW w:w="690" w:type="dxa"/>
            <w:vMerge w:val="continue"/>
            <w:tcBorders>
              <w:top w:val="single" w:color="000000" w:sz="4" w:space="0"/>
              <w:left w:val="nil"/>
              <w:bottom w:val="single" w:color="000000" w:sz="4" w:space="0"/>
              <w:right w:val="single" w:color="000000" w:sz="4" w:space="0"/>
            </w:tcBorders>
            <w:vAlign w:val="center"/>
          </w:tcPr>
          <w:p>
            <w:pPr>
              <w:widowControl/>
              <w:spacing w:line="440" w:lineRule="exact"/>
              <w:jc w:val="center"/>
              <w:rPr>
                <w:rFonts w:asciiTheme="minorEastAsia" w:hAnsiTheme="minorEastAsia" w:eastAsiaTheme="minorEastAsia" w:cstheme="minorEastAsia"/>
                <w:sz w:val="21"/>
                <w:szCs w:val="21"/>
              </w:rPr>
            </w:pPr>
          </w:p>
        </w:tc>
        <w:tc>
          <w:tcPr>
            <w:tcW w:w="1890" w:type="dxa"/>
            <w:gridSpan w:val="3"/>
            <w:vMerge w:val="continue"/>
            <w:tcBorders>
              <w:top w:val="single" w:color="000000" w:sz="4" w:space="0"/>
              <w:left w:val="nil"/>
              <w:bottom w:val="single" w:color="000000" w:sz="4" w:space="0"/>
              <w:right w:val="single" w:color="000000" w:sz="4" w:space="0"/>
            </w:tcBorders>
            <w:vAlign w:val="center"/>
          </w:tcPr>
          <w:p>
            <w:pPr>
              <w:widowControl/>
              <w:spacing w:line="440" w:lineRule="exact"/>
              <w:jc w:val="center"/>
              <w:rPr>
                <w:rFonts w:asciiTheme="minorEastAsia" w:hAnsiTheme="minorEastAsia" w:eastAsiaTheme="minorEastAsia" w:cstheme="minorEastAsia"/>
                <w:sz w:val="21"/>
                <w:szCs w:val="21"/>
              </w:rPr>
            </w:pPr>
          </w:p>
        </w:tc>
        <w:tc>
          <w:tcPr>
            <w:tcW w:w="52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小计</w:t>
            </w:r>
          </w:p>
        </w:tc>
        <w:tc>
          <w:tcPr>
            <w:tcW w:w="2430"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其中具有交互型设备的教室</w:t>
            </w:r>
          </w:p>
        </w:tc>
        <w:tc>
          <w:tcPr>
            <w:tcW w:w="2535" w:type="dxa"/>
            <w:gridSpan w:val="4"/>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其中具有展示型设备的教室</w:t>
            </w:r>
          </w:p>
        </w:tc>
      </w:tr>
      <w:tr>
        <w:tblPrEx>
          <w:tblLayout w:type="fixed"/>
          <w:tblCellMar>
            <w:top w:w="0" w:type="dxa"/>
            <w:left w:w="108" w:type="dxa"/>
            <w:bottom w:w="0" w:type="dxa"/>
            <w:right w:w="108" w:type="dxa"/>
          </w:tblCellMar>
        </w:tblPrEx>
        <w:trPr>
          <w:trHeight w:val="3133" w:hRule="atLeast"/>
        </w:trPr>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heme="minorEastAsia" w:hAnsiTheme="minorEastAsia" w:eastAsiaTheme="minorEastAsia" w:cstheme="minorEastAsia"/>
                <w:sz w:val="21"/>
                <w:szCs w:val="21"/>
              </w:rPr>
            </w:pPr>
          </w:p>
        </w:tc>
        <w:tc>
          <w:tcPr>
            <w:tcW w:w="690" w:type="dxa"/>
            <w:vMerge w:val="continue"/>
            <w:tcBorders>
              <w:top w:val="single" w:color="000000" w:sz="4" w:space="0"/>
              <w:left w:val="nil"/>
              <w:bottom w:val="single" w:color="000000" w:sz="4" w:space="0"/>
              <w:right w:val="single" w:color="000000" w:sz="4" w:space="0"/>
            </w:tcBorders>
            <w:vAlign w:val="center"/>
          </w:tcPr>
          <w:p>
            <w:pPr>
              <w:widowControl/>
              <w:spacing w:line="440" w:lineRule="exact"/>
              <w:jc w:val="center"/>
              <w:rPr>
                <w:rFonts w:asciiTheme="minorEastAsia" w:hAnsiTheme="minorEastAsia" w:eastAsiaTheme="minorEastAsia" w:cstheme="minorEastAsia"/>
                <w:sz w:val="21"/>
                <w:szCs w:val="21"/>
              </w:rPr>
            </w:pPr>
          </w:p>
        </w:tc>
        <w:tc>
          <w:tcPr>
            <w:tcW w:w="66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已建设校园网</w:t>
            </w:r>
          </w:p>
        </w:tc>
        <w:tc>
          <w:tcPr>
            <w:tcW w:w="57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宽带网接入</w:t>
            </w:r>
          </w:p>
        </w:tc>
        <w:tc>
          <w:tcPr>
            <w:tcW w:w="66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平均宽带</w:t>
            </w:r>
          </w:p>
        </w:tc>
        <w:tc>
          <w:tcPr>
            <w:tcW w:w="52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教室数</w:t>
            </w:r>
          </w:p>
        </w:tc>
        <w:tc>
          <w:tcPr>
            <w:tcW w:w="49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交互型设备教室数</w:t>
            </w:r>
          </w:p>
        </w:tc>
        <w:tc>
          <w:tcPr>
            <w:tcW w:w="7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占教室数的比例</w:t>
            </w:r>
          </w:p>
        </w:tc>
        <w:tc>
          <w:tcPr>
            <w:tcW w:w="57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其中能上网教室数</w:t>
            </w:r>
          </w:p>
        </w:tc>
        <w:tc>
          <w:tcPr>
            <w:tcW w:w="66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占交互型教室的比例</w:t>
            </w:r>
          </w:p>
        </w:tc>
        <w:tc>
          <w:tcPr>
            <w:tcW w:w="58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展示型设备教室数</w:t>
            </w:r>
          </w:p>
        </w:tc>
        <w:tc>
          <w:tcPr>
            <w:tcW w:w="69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占教室数的比例</w:t>
            </w:r>
          </w:p>
        </w:tc>
        <w:tc>
          <w:tcPr>
            <w:tcW w:w="52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其中能上网教室数</w:t>
            </w:r>
          </w:p>
        </w:tc>
        <w:tc>
          <w:tcPr>
            <w:tcW w:w="73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占展示型教室的比例</w:t>
            </w:r>
          </w:p>
        </w:tc>
      </w:tr>
      <w:tr>
        <w:tblPrEx>
          <w:tblLayout w:type="fixed"/>
          <w:tblCellMar>
            <w:top w:w="0" w:type="dxa"/>
            <w:left w:w="108" w:type="dxa"/>
            <w:bottom w:w="0" w:type="dxa"/>
            <w:right w:w="108" w:type="dxa"/>
          </w:tblCellMar>
        </w:tblPrEx>
        <w:trPr>
          <w:trHeight w:val="705" w:hRule="atLeast"/>
        </w:trPr>
        <w:tc>
          <w:tcPr>
            <w:tcW w:w="720" w:type="dxa"/>
            <w:tcBorders>
              <w:top w:val="single" w:color="000000" w:sz="4" w:space="0"/>
              <w:left w:val="single" w:color="000000" w:sz="4" w:space="0"/>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年</w:t>
            </w:r>
          </w:p>
        </w:tc>
        <w:tc>
          <w:tcPr>
            <w:tcW w:w="690" w:type="dxa"/>
            <w:tcBorders>
              <w:top w:val="single" w:color="000000" w:sz="4" w:space="0"/>
              <w:left w:val="nil"/>
              <w:bottom w:val="single" w:color="auto"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116</w:t>
            </w:r>
          </w:p>
        </w:tc>
        <w:tc>
          <w:tcPr>
            <w:tcW w:w="660"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已建</w:t>
            </w:r>
          </w:p>
        </w:tc>
        <w:tc>
          <w:tcPr>
            <w:tcW w:w="570"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660"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0.08</w:t>
            </w:r>
          </w:p>
        </w:tc>
        <w:tc>
          <w:tcPr>
            <w:tcW w:w="525"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495"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05"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570"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660"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585"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690"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525"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35" w:type="dxa"/>
            <w:tcBorders>
              <w:top w:val="single" w:color="000000" w:sz="4" w:space="0"/>
              <w:left w:val="nil"/>
              <w:bottom w:val="single" w:color="auto"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r>
      <w:tr>
        <w:tblPrEx>
          <w:tblLayout w:type="fixed"/>
          <w:tblCellMar>
            <w:top w:w="0" w:type="dxa"/>
            <w:left w:w="108" w:type="dxa"/>
            <w:bottom w:w="0" w:type="dxa"/>
            <w:right w:w="108" w:type="dxa"/>
          </w:tblCellMar>
        </w:tblPrEx>
        <w:trPr>
          <w:trHeight w:val="717" w:hRule="atLeast"/>
        </w:trPr>
        <w:tc>
          <w:tcPr>
            <w:tcW w:w="720" w:type="dxa"/>
            <w:tcBorders>
              <w:top w:val="single" w:color="auto" w:sz="4" w:space="0"/>
              <w:left w:val="single" w:color="000000" w:sz="4" w:space="0"/>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2019年</w:t>
            </w:r>
          </w:p>
        </w:tc>
        <w:tc>
          <w:tcPr>
            <w:tcW w:w="690" w:type="dxa"/>
            <w:tcBorders>
              <w:top w:val="single" w:color="auto"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108</w:t>
            </w:r>
          </w:p>
        </w:tc>
        <w:tc>
          <w:tcPr>
            <w:tcW w:w="660" w:type="dxa"/>
            <w:tcBorders>
              <w:top w:val="single" w:color="auto"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已建</w:t>
            </w:r>
          </w:p>
        </w:tc>
        <w:tc>
          <w:tcPr>
            <w:tcW w:w="570" w:type="dxa"/>
            <w:tcBorders>
              <w:top w:val="single" w:color="auto"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660" w:type="dxa"/>
            <w:tcBorders>
              <w:top w:val="single" w:color="auto"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0.08</w:t>
            </w:r>
          </w:p>
        </w:tc>
        <w:tc>
          <w:tcPr>
            <w:tcW w:w="525" w:type="dxa"/>
            <w:tcBorders>
              <w:top w:val="single" w:color="auto"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495" w:type="dxa"/>
            <w:tcBorders>
              <w:top w:val="single" w:color="auto"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c>
          <w:tcPr>
            <w:tcW w:w="705"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570"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660"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585"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690"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525"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35" w:type="dxa"/>
            <w:tcBorders>
              <w:top w:val="single" w:color="auto"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r>
    </w:tbl>
    <w:p>
      <w:pPr>
        <w:spacing w:line="440" w:lineRule="exact"/>
        <w:rPr>
          <w:rFonts w:asciiTheme="minorEastAsia" w:hAnsiTheme="minorEastAsia" w:eastAsiaTheme="minorEastAsia" w:cstheme="minorEastAsia"/>
          <w:sz w:val="21"/>
          <w:szCs w:val="21"/>
        </w:rPr>
      </w:pPr>
    </w:p>
    <w:p>
      <w:pPr>
        <w:pStyle w:val="3"/>
        <w:spacing w:line="440" w:lineRule="exact"/>
        <w:rPr>
          <w:rFonts w:ascii="黑体" w:hAnsi="黑体" w:cs="黑体"/>
        </w:rPr>
      </w:pPr>
      <w:bookmarkStart w:id="12" w:name="_Toc22766"/>
      <w:r>
        <w:rPr>
          <w:rFonts w:hint="eastAsia" w:ascii="黑体" w:hAnsi="黑体" w:cs="黑体"/>
        </w:rPr>
        <w:t>1.6校内实训基地建设</w:t>
      </w:r>
      <w:bookmarkEnd w:id="12"/>
    </w:p>
    <w:p>
      <w:pPr>
        <w:spacing w:line="440" w:lineRule="exact"/>
        <w:ind w:firstLine="480" w:firstLineChars="200"/>
        <w:rPr>
          <w:rFonts w:asciiTheme="minorEastAsia" w:hAnsiTheme="minorEastAsia" w:eastAsiaTheme="minorEastAsia" w:cstheme="minorEastAsia"/>
        </w:rPr>
      </w:pPr>
      <w:bookmarkStart w:id="13" w:name="_Toc10537"/>
      <w:bookmarkStart w:id="14" w:name="_Toc320"/>
      <w:r>
        <w:rPr>
          <w:rFonts w:hint="eastAsia" w:asciiTheme="minorEastAsia" w:hAnsiTheme="minorEastAsia" w:eastAsiaTheme="minorEastAsia" w:cstheme="minorEastAsia"/>
        </w:rPr>
        <w:t>我校高度重视实训课教学改革，改革的原则是与市场接轨，培养实用型技能人才。具体方法是：实训室全面推行店铺管理方法，在为顾客免费服务的过程中不断提高学生的动手能力；同时把部分市场营销和市场调研课结合到我们的课程中，让学生在商务实战中完成学习任务。为了满足教学需求，提高所有学生的实践动手能力，我校针对三大专业设置了美发教室3个，美容教室2个、形象设计教室4个，可容纳500多名学生同时进行实习实训，课程开课率100%。且实训基地设施设备先进，有严格规范的管理制度，培养出来的学生符合市场需求，原则上每三年更新一次设备。</w:t>
      </w:r>
      <w:bookmarkEnd w:id="13"/>
      <w:bookmarkEnd w:id="14"/>
    </w:p>
    <w:p>
      <w:pPr>
        <w:adjustRightInd w:val="0"/>
        <w:spacing w:line="44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表1.6 201</w:t>
      </w:r>
      <w:r>
        <w:rPr>
          <w:rFonts w:hint="eastAsia" w:asciiTheme="minorEastAsia" w:hAnsiTheme="minorEastAsia" w:eastAsiaTheme="minorEastAsia" w:cstheme="minorEastAsia"/>
          <w:b/>
          <w:bCs/>
          <w:sz w:val="21"/>
          <w:szCs w:val="21"/>
          <w:lang w:val="en-US" w:eastAsia="zh-CN"/>
        </w:rPr>
        <w:t>8</w:t>
      </w:r>
      <w:r>
        <w:rPr>
          <w:rFonts w:hint="eastAsia" w:asciiTheme="minorEastAsia" w:hAnsiTheme="minorEastAsia" w:eastAsiaTheme="minorEastAsia" w:cstheme="minorEastAsia"/>
          <w:b/>
          <w:bCs/>
          <w:sz w:val="21"/>
          <w:szCs w:val="21"/>
        </w:rPr>
        <w:t>--201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年中等职业学校校外实习实训基地一览表</w:t>
      </w:r>
    </w:p>
    <w:tbl>
      <w:tblPr>
        <w:tblStyle w:val="13"/>
        <w:tblpPr w:leftFromText="180" w:rightFromText="180" w:vertAnchor="text" w:horzAnchor="page" w:tblpX="1901" w:tblpY="176"/>
        <w:tblOverlap w:val="never"/>
        <w:tblW w:w="8715" w:type="dxa"/>
        <w:tblInd w:w="0" w:type="dxa"/>
        <w:tblLayout w:type="fixed"/>
        <w:tblCellMar>
          <w:top w:w="0" w:type="dxa"/>
          <w:left w:w="108" w:type="dxa"/>
          <w:bottom w:w="0" w:type="dxa"/>
          <w:right w:w="108" w:type="dxa"/>
        </w:tblCellMar>
      </w:tblPr>
      <w:tblGrid>
        <w:gridCol w:w="675"/>
        <w:gridCol w:w="711"/>
        <w:gridCol w:w="780"/>
        <w:gridCol w:w="690"/>
        <w:gridCol w:w="750"/>
        <w:gridCol w:w="735"/>
        <w:gridCol w:w="915"/>
        <w:gridCol w:w="885"/>
        <w:gridCol w:w="855"/>
        <w:gridCol w:w="825"/>
        <w:gridCol w:w="894"/>
      </w:tblGrid>
      <w:tr>
        <w:tblPrEx>
          <w:tblLayout w:type="fixed"/>
          <w:tblCellMar>
            <w:top w:w="0" w:type="dxa"/>
            <w:left w:w="108" w:type="dxa"/>
            <w:bottom w:w="0" w:type="dxa"/>
            <w:right w:w="108" w:type="dxa"/>
          </w:tblCellMar>
        </w:tblPrEx>
        <w:trPr>
          <w:trHeight w:val="165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类   别</w:t>
            </w:r>
          </w:p>
        </w:tc>
        <w:tc>
          <w:tcPr>
            <w:tcW w:w="1491" w:type="dxa"/>
            <w:gridSpan w:val="2"/>
            <w:tcBorders>
              <w:top w:val="single" w:color="auto" w:sz="4" w:space="0"/>
              <w:left w:val="nil"/>
              <w:bottom w:val="single" w:color="auto" w:sz="4" w:space="0"/>
              <w:right w:val="single" w:color="auto" w:sz="6"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基地</w:t>
            </w:r>
          </w:p>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总数</w:t>
            </w:r>
          </w:p>
        </w:tc>
        <w:tc>
          <w:tcPr>
            <w:tcW w:w="1440" w:type="dxa"/>
            <w:gridSpan w:val="2"/>
            <w:tcBorders>
              <w:top w:val="single" w:color="auto" w:sz="4" w:space="0"/>
              <w:left w:val="nil"/>
              <w:bottom w:val="single" w:color="auto" w:sz="4" w:space="0"/>
              <w:right w:val="single" w:color="auto" w:sz="6"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接待学生量</w:t>
            </w:r>
          </w:p>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（人次）</w:t>
            </w:r>
          </w:p>
        </w:tc>
        <w:tc>
          <w:tcPr>
            <w:tcW w:w="1650" w:type="dxa"/>
            <w:gridSpan w:val="2"/>
            <w:tcBorders>
              <w:top w:val="single" w:color="auto" w:sz="4" w:space="0"/>
              <w:left w:val="nil"/>
              <w:bottom w:val="single" w:color="auto" w:sz="4" w:space="0"/>
              <w:right w:val="single" w:color="auto" w:sz="6" w:space="0"/>
            </w:tcBorders>
            <w:vAlign w:val="center"/>
          </w:tcPr>
          <w:p>
            <w:pPr>
              <w:widowControl/>
              <w:spacing w:line="440" w:lineRule="exact"/>
              <w:rPr>
                <w:rFonts w:asciiTheme="minorEastAsia" w:hAnsiTheme="minorEastAsia" w:eastAsiaTheme="minorEastAsia" w:cstheme="minorEastAsia"/>
                <w:kern w:val="0"/>
                <w:sz w:val="21"/>
                <w:szCs w:val="21"/>
              </w:rPr>
            </w:pPr>
          </w:p>
          <w:p>
            <w:pPr>
              <w:widowControl/>
              <w:spacing w:line="4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接收半年以上顶岗实习基地数</w:t>
            </w:r>
          </w:p>
          <w:p>
            <w:pPr>
              <w:widowControl/>
              <w:spacing w:line="440" w:lineRule="exac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及比例</w:t>
            </w:r>
          </w:p>
          <w:p>
            <w:pPr>
              <w:widowControl/>
              <w:spacing w:line="440" w:lineRule="exact"/>
              <w:rPr>
                <w:rFonts w:asciiTheme="minorEastAsia" w:hAnsiTheme="minorEastAsia" w:eastAsiaTheme="minorEastAsia" w:cstheme="minorEastAsia"/>
                <w:kern w:val="0"/>
                <w:sz w:val="21"/>
                <w:szCs w:val="21"/>
              </w:rPr>
            </w:pPr>
          </w:p>
          <w:p>
            <w:pPr>
              <w:widowControl/>
              <w:spacing w:line="440" w:lineRule="exact"/>
              <w:rPr>
                <w:rFonts w:asciiTheme="minorEastAsia" w:hAnsiTheme="minorEastAsia" w:eastAsiaTheme="minorEastAsia" w:cstheme="minorEastAsia"/>
                <w:kern w:val="0"/>
                <w:sz w:val="21"/>
                <w:szCs w:val="21"/>
              </w:rPr>
            </w:pPr>
          </w:p>
        </w:tc>
        <w:tc>
          <w:tcPr>
            <w:tcW w:w="1740" w:type="dxa"/>
            <w:gridSpan w:val="2"/>
            <w:tcBorders>
              <w:top w:val="single" w:color="auto" w:sz="4" w:space="0"/>
              <w:left w:val="nil"/>
              <w:bottom w:val="single" w:color="auto" w:sz="4" w:space="0"/>
              <w:right w:val="single" w:color="auto" w:sz="6"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提供住宿的基地数及比例</w:t>
            </w:r>
          </w:p>
        </w:tc>
        <w:tc>
          <w:tcPr>
            <w:tcW w:w="1719" w:type="dxa"/>
            <w:gridSpan w:val="2"/>
            <w:tcBorders>
              <w:top w:val="single" w:color="auto" w:sz="4" w:space="0"/>
              <w:left w:val="nil"/>
              <w:bottom w:val="single" w:color="auto" w:sz="4"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发放实习补贴的基地数及比例</w:t>
            </w:r>
          </w:p>
        </w:tc>
      </w:tr>
      <w:tr>
        <w:tblPrEx>
          <w:tblLayout w:type="fixed"/>
          <w:tblCellMar>
            <w:top w:w="0" w:type="dxa"/>
            <w:left w:w="108" w:type="dxa"/>
            <w:bottom w:w="0" w:type="dxa"/>
            <w:right w:w="108" w:type="dxa"/>
          </w:tblCellMar>
        </w:tblPrEx>
        <w:trPr>
          <w:trHeight w:val="54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p>
        </w:tc>
        <w:tc>
          <w:tcPr>
            <w:tcW w:w="711" w:type="dxa"/>
            <w:tcBorders>
              <w:top w:val="single" w:color="auto" w:sz="4"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w:t>
            </w:r>
            <w:r>
              <w:rPr>
                <w:rFonts w:hint="eastAsia" w:asciiTheme="minorEastAsia" w:hAnsiTheme="minorEastAsia" w:eastAsiaTheme="minorEastAsia" w:cstheme="minorEastAsia"/>
                <w:kern w:val="0"/>
                <w:sz w:val="21"/>
                <w:szCs w:val="21"/>
                <w:lang w:val="en-US" w:eastAsia="zh-CN"/>
              </w:rPr>
              <w:t>8</w:t>
            </w:r>
          </w:p>
        </w:tc>
        <w:tc>
          <w:tcPr>
            <w:tcW w:w="780" w:type="dxa"/>
            <w:tcBorders>
              <w:top w:val="single" w:color="auto" w:sz="4"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2019</w:t>
            </w:r>
          </w:p>
        </w:tc>
        <w:tc>
          <w:tcPr>
            <w:tcW w:w="690" w:type="dxa"/>
            <w:tcBorders>
              <w:top w:val="single" w:color="auto" w:sz="4"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w:t>
            </w:r>
            <w:r>
              <w:rPr>
                <w:rFonts w:hint="eastAsia" w:asciiTheme="minorEastAsia" w:hAnsiTheme="minorEastAsia" w:eastAsiaTheme="minorEastAsia" w:cstheme="minorEastAsia"/>
                <w:kern w:val="0"/>
                <w:sz w:val="21"/>
                <w:szCs w:val="21"/>
                <w:lang w:val="en-US" w:eastAsia="zh-CN"/>
              </w:rPr>
              <w:t>8</w:t>
            </w:r>
          </w:p>
        </w:tc>
        <w:tc>
          <w:tcPr>
            <w:tcW w:w="750" w:type="dxa"/>
            <w:tcBorders>
              <w:top w:val="single" w:color="auto" w:sz="4"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2019</w:t>
            </w:r>
          </w:p>
        </w:tc>
        <w:tc>
          <w:tcPr>
            <w:tcW w:w="735" w:type="dxa"/>
            <w:tcBorders>
              <w:top w:val="single" w:color="auto" w:sz="4"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w:t>
            </w:r>
            <w:r>
              <w:rPr>
                <w:rFonts w:hint="eastAsia" w:asciiTheme="minorEastAsia" w:hAnsiTheme="minorEastAsia" w:eastAsiaTheme="minorEastAsia" w:cstheme="minorEastAsia"/>
                <w:kern w:val="0"/>
                <w:sz w:val="21"/>
                <w:szCs w:val="21"/>
                <w:lang w:val="en-US" w:eastAsia="zh-CN"/>
              </w:rPr>
              <w:t>8</w:t>
            </w:r>
          </w:p>
        </w:tc>
        <w:tc>
          <w:tcPr>
            <w:tcW w:w="915" w:type="dxa"/>
            <w:tcBorders>
              <w:top w:val="single" w:color="auto" w:sz="4"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2019</w:t>
            </w:r>
          </w:p>
        </w:tc>
        <w:tc>
          <w:tcPr>
            <w:tcW w:w="885" w:type="dxa"/>
            <w:tcBorders>
              <w:top w:val="single" w:color="auto" w:sz="4"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w:t>
            </w:r>
            <w:r>
              <w:rPr>
                <w:rFonts w:hint="eastAsia" w:asciiTheme="minorEastAsia" w:hAnsiTheme="minorEastAsia" w:eastAsiaTheme="minorEastAsia" w:cstheme="minorEastAsia"/>
                <w:kern w:val="0"/>
                <w:sz w:val="21"/>
                <w:szCs w:val="21"/>
                <w:lang w:val="en-US" w:eastAsia="zh-CN"/>
              </w:rPr>
              <w:t>8</w:t>
            </w:r>
          </w:p>
        </w:tc>
        <w:tc>
          <w:tcPr>
            <w:tcW w:w="855" w:type="dxa"/>
            <w:tcBorders>
              <w:top w:val="single" w:color="auto" w:sz="4"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2019</w:t>
            </w:r>
          </w:p>
        </w:tc>
        <w:tc>
          <w:tcPr>
            <w:tcW w:w="825" w:type="dxa"/>
            <w:tcBorders>
              <w:top w:val="single" w:color="auto" w:sz="4"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201</w:t>
            </w:r>
            <w:r>
              <w:rPr>
                <w:rFonts w:hint="eastAsia" w:asciiTheme="minorEastAsia" w:hAnsiTheme="minorEastAsia" w:eastAsiaTheme="minorEastAsia" w:cstheme="minorEastAsia"/>
                <w:kern w:val="0"/>
                <w:sz w:val="21"/>
                <w:szCs w:val="21"/>
                <w:lang w:val="en-US" w:eastAsia="zh-CN"/>
              </w:rPr>
              <w:t>8</w:t>
            </w:r>
          </w:p>
        </w:tc>
        <w:tc>
          <w:tcPr>
            <w:tcW w:w="894" w:type="dxa"/>
            <w:tcBorders>
              <w:top w:val="single" w:color="auto" w:sz="4" w:space="0"/>
              <w:left w:val="nil"/>
              <w:bottom w:val="single" w:color="auto" w:sz="6" w:space="0"/>
              <w:right w:val="single" w:color="auto" w:sz="4"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2019</w:t>
            </w:r>
          </w:p>
        </w:tc>
      </w:tr>
      <w:tr>
        <w:tblPrEx>
          <w:tblLayout w:type="fixed"/>
          <w:tblCellMar>
            <w:top w:w="0" w:type="dxa"/>
            <w:left w:w="108" w:type="dxa"/>
            <w:bottom w:w="0" w:type="dxa"/>
            <w:right w:w="108" w:type="dxa"/>
          </w:tblCellMar>
        </w:tblPrEx>
        <w:trPr>
          <w:trHeight w:val="367" w:hRule="atLeast"/>
        </w:trPr>
        <w:tc>
          <w:tcPr>
            <w:tcW w:w="675" w:type="dxa"/>
            <w:tcBorders>
              <w:top w:val="single" w:color="auto" w:sz="4" w:space="0"/>
              <w:left w:val="single" w:color="auto" w:sz="4" w:space="0"/>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校外实习实训基地</w:t>
            </w:r>
          </w:p>
        </w:tc>
        <w:tc>
          <w:tcPr>
            <w:tcW w:w="711" w:type="dxa"/>
            <w:tcBorders>
              <w:top w:val="single" w:color="auto" w:sz="6" w:space="0"/>
              <w:left w:val="nil"/>
              <w:bottom w:val="single" w:color="auto" w:sz="6" w:space="0"/>
              <w:right w:val="single" w:color="auto" w:sz="4"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eastAsia="zh-CN"/>
              </w:rPr>
            </w:pPr>
            <w:r>
              <w:rPr>
                <w:rFonts w:hint="eastAsia" w:asciiTheme="minorEastAsia" w:hAnsiTheme="minorEastAsia" w:eastAsiaTheme="minorEastAsia" w:cstheme="minorEastAsia"/>
                <w:kern w:val="0"/>
                <w:sz w:val="21"/>
                <w:szCs w:val="21"/>
              </w:rPr>
              <w:t>1</w:t>
            </w:r>
            <w:r>
              <w:rPr>
                <w:rFonts w:hint="eastAsia" w:asciiTheme="minorEastAsia" w:hAnsiTheme="minorEastAsia" w:eastAsiaTheme="minorEastAsia" w:cstheme="minorEastAsia"/>
                <w:kern w:val="0"/>
                <w:sz w:val="21"/>
                <w:szCs w:val="21"/>
                <w:lang w:val="en-US" w:eastAsia="zh-CN"/>
              </w:rPr>
              <w:t>7</w:t>
            </w:r>
          </w:p>
        </w:tc>
        <w:tc>
          <w:tcPr>
            <w:tcW w:w="780" w:type="dxa"/>
            <w:tcBorders>
              <w:top w:val="single" w:color="auto" w:sz="6"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18</w:t>
            </w:r>
          </w:p>
        </w:tc>
        <w:tc>
          <w:tcPr>
            <w:tcW w:w="690" w:type="dxa"/>
            <w:tcBorders>
              <w:top w:val="single" w:color="auto" w:sz="6"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91</w:t>
            </w:r>
          </w:p>
        </w:tc>
        <w:tc>
          <w:tcPr>
            <w:tcW w:w="750" w:type="dxa"/>
            <w:tcBorders>
              <w:top w:val="single" w:color="auto" w:sz="6"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70</w:t>
            </w:r>
          </w:p>
        </w:tc>
        <w:tc>
          <w:tcPr>
            <w:tcW w:w="735" w:type="dxa"/>
            <w:tcBorders>
              <w:top w:val="single" w:color="auto" w:sz="6" w:space="0"/>
              <w:left w:val="nil"/>
              <w:bottom w:val="single" w:color="auto" w:sz="6" w:space="0"/>
              <w:right w:val="single" w:color="auto" w:sz="4"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11</w:t>
            </w:r>
          </w:p>
          <w:p>
            <w:pPr>
              <w:widowControl/>
              <w:spacing w:line="440" w:lineRule="exact"/>
              <w:jc w:val="center"/>
              <w:rPr>
                <w:rFonts w:asciiTheme="minorEastAsia" w:hAnsiTheme="minorEastAsia" w:eastAsiaTheme="minorEastAsia" w:cstheme="minorEastAsia"/>
                <w:kern w:val="0"/>
                <w:sz w:val="21"/>
                <w:szCs w:val="21"/>
              </w:rPr>
            </w:pPr>
            <w:r>
              <w:rPr>
                <w:rFonts w:asciiTheme="minorEastAsia" w:hAnsiTheme="minorEastAsia" w:eastAsiaTheme="minorEastAsia" w:cstheme="minorEastAsia"/>
                <w:kern w:val="0"/>
                <w:sz w:val="21"/>
                <w:szCs w:val="21"/>
              </w:rPr>
              <w:t>65</w:t>
            </w:r>
            <w:r>
              <w:rPr>
                <w:rFonts w:hint="eastAsia" w:asciiTheme="minorEastAsia" w:hAnsiTheme="minorEastAsia" w:eastAsiaTheme="minorEastAsia" w:cstheme="minorEastAsia"/>
                <w:kern w:val="0"/>
                <w:sz w:val="21"/>
                <w:szCs w:val="21"/>
              </w:rPr>
              <w:t>%</w:t>
            </w:r>
          </w:p>
        </w:tc>
        <w:tc>
          <w:tcPr>
            <w:tcW w:w="915" w:type="dxa"/>
            <w:tcBorders>
              <w:top w:val="single" w:color="auto" w:sz="6" w:space="0"/>
              <w:left w:val="nil"/>
              <w:bottom w:val="single" w:color="auto" w:sz="6" w:space="0"/>
              <w:right w:val="single" w:color="auto" w:sz="6"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18</w:t>
            </w:r>
          </w:p>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100%</w:t>
            </w:r>
          </w:p>
        </w:tc>
        <w:tc>
          <w:tcPr>
            <w:tcW w:w="885" w:type="dxa"/>
            <w:tcBorders>
              <w:top w:val="single" w:color="auto" w:sz="6" w:space="0"/>
              <w:left w:val="nil"/>
              <w:bottom w:val="single" w:color="auto" w:sz="6" w:space="0"/>
              <w:right w:val="single" w:color="auto" w:sz="4" w:space="0"/>
            </w:tcBorders>
            <w:vAlign w:val="center"/>
          </w:tcPr>
          <w:p>
            <w:pPr>
              <w:widowControl/>
              <w:spacing w:line="440" w:lineRule="exact"/>
              <w:jc w:val="center"/>
              <w:rPr>
                <w:rFonts w:asciiTheme="minorEastAsia" w:hAnsiTheme="minorEastAsia" w:eastAsiaTheme="minorEastAsia" w:cstheme="minorEastAsia"/>
                <w:kern w:val="0"/>
                <w:sz w:val="21"/>
                <w:szCs w:val="21"/>
              </w:rPr>
            </w:pPr>
            <w:r>
              <w:rPr>
                <w:rFonts w:asciiTheme="minorEastAsia" w:hAnsiTheme="minorEastAsia" w:eastAsiaTheme="minorEastAsia" w:cstheme="minorEastAsia"/>
                <w:kern w:val="0"/>
                <w:sz w:val="21"/>
                <w:szCs w:val="21"/>
              </w:rPr>
              <w:t>17</w:t>
            </w:r>
          </w:p>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lang w:val="en-US" w:eastAsia="zh-CN"/>
              </w:rPr>
              <w:t>100</w:t>
            </w:r>
            <w:r>
              <w:rPr>
                <w:rFonts w:hint="eastAsia" w:asciiTheme="minorEastAsia" w:hAnsiTheme="minorEastAsia" w:eastAsiaTheme="minorEastAsia" w:cstheme="minorEastAsia"/>
                <w:kern w:val="0"/>
                <w:sz w:val="21"/>
                <w:szCs w:val="21"/>
              </w:rPr>
              <w:t>/%</w:t>
            </w:r>
          </w:p>
        </w:tc>
        <w:tc>
          <w:tcPr>
            <w:tcW w:w="855" w:type="dxa"/>
            <w:tcBorders>
              <w:top w:val="single" w:color="auto" w:sz="6" w:space="0"/>
              <w:left w:val="nil"/>
              <w:bottom w:val="single" w:color="auto" w:sz="6" w:space="0"/>
              <w:right w:val="single" w:color="auto" w:sz="6" w:space="0"/>
            </w:tcBorders>
            <w:vAlign w:val="center"/>
          </w:tcPr>
          <w:p>
            <w:pPr>
              <w:widowControl/>
              <w:spacing w:line="440" w:lineRule="exact"/>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18</w:t>
            </w:r>
          </w:p>
          <w:p>
            <w:pPr>
              <w:widowControl/>
              <w:spacing w:line="440" w:lineRule="exact"/>
              <w:jc w:val="both"/>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100%</w:t>
            </w:r>
          </w:p>
        </w:tc>
        <w:tc>
          <w:tcPr>
            <w:tcW w:w="825" w:type="dxa"/>
            <w:tcBorders>
              <w:top w:val="single" w:color="auto" w:sz="6" w:space="0"/>
              <w:left w:val="nil"/>
              <w:bottom w:val="single" w:color="auto" w:sz="6" w:space="0"/>
              <w:right w:val="single" w:color="auto" w:sz="4" w:space="0"/>
            </w:tcBorders>
            <w:vAlign w:val="center"/>
          </w:tcPr>
          <w:p>
            <w:pPr>
              <w:widowControl/>
              <w:spacing w:line="440" w:lineRule="exact"/>
              <w:jc w:val="center"/>
              <w:rPr>
                <w:rFonts w:hint="eastAsia" w:asciiTheme="minorEastAsia" w:hAnsiTheme="minorEastAsia" w:eastAsiaTheme="minorEastAsia" w:cstheme="minorEastAsia"/>
                <w:kern w:val="0"/>
                <w:sz w:val="21"/>
                <w:szCs w:val="21"/>
              </w:rPr>
            </w:pPr>
            <w:r>
              <w:rPr>
                <w:rFonts w:asciiTheme="minorEastAsia" w:hAnsiTheme="minorEastAsia" w:eastAsiaTheme="minorEastAsia" w:cstheme="minorEastAsia"/>
                <w:kern w:val="0"/>
                <w:sz w:val="21"/>
                <w:szCs w:val="21"/>
              </w:rPr>
              <w:t>17</w:t>
            </w:r>
          </w:p>
          <w:p>
            <w:pPr>
              <w:widowControl/>
              <w:spacing w:line="440" w:lineRule="exact"/>
              <w:jc w:val="center"/>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100%</w:t>
            </w:r>
          </w:p>
        </w:tc>
        <w:tc>
          <w:tcPr>
            <w:tcW w:w="894" w:type="dxa"/>
            <w:tcBorders>
              <w:top w:val="single" w:color="auto" w:sz="6" w:space="0"/>
              <w:left w:val="nil"/>
              <w:bottom w:val="single" w:color="auto" w:sz="6" w:space="0"/>
              <w:right w:val="single" w:color="auto" w:sz="4" w:space="0"/>
            </w:tcBorders>
            <w:vAlign w:val="center"/>
          </w:tcPr>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18</w:t>
            </w:r>
          </w:p>
          <w:p>
            <w:pPr>
              <w:widowControl/>
              <w:spacing w:line="4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100%</w:t>
            </w:r>
          </w:p>
        </w:tc>
      </w:tr>
    </w:tbl>
    <w:p>
      <w:pPr>
        <w:spacing w:line="440" w:lineRule="exact"/>
        <w:rPr>
          <w:rFonts w:hint="eastAsia" w:asciiTheme="minorEastAsia" w:hAnsiTheme="minorEastAsia" w:eastAsiaTheme="minorEastAsia" w:cstheme="minorEastAsia"/>
          <w:sz w:val="21"/>
          <w:szCs w:val="21"/>
        </w:rPr>
      </w:pPr>
    </w:p>
    <w:p>
      <w:pPr>
        <w:pStyle w:val="2"/>
        <w:numPr>
          <w:ilvl w:val="0"/>
          <w:numId w:val="2"/>
        </w:numPr>
        <w:spacing w:line="440" w:lineRule="exact"/>
      </w:pPr>
      <w:bookmarkStart w:id="15" w:name="_Toc25408"/>
      <w:bookmarkStart w:id="16" w:name="_Toc10884"/>
      <w:bookmarkStart w:id="17" w:name="_Toc1197"/>
      <w:r>
        <w:rPr>
          <w:rFonts w:hint="eastAsia"/>
        </w:rPr>
        <w:t>学生素质</w:t>
      </w:r>
      <w:bookmarkEnd w:id="15"/>
      <w:bookmarkEnd w:id="16"/>
      <w:bookmarkEnd w:id="17"/>
    </w:p>
    <w:p>
      <w:pPr>
        <w:pStyle w:val="3"/>
        <w:spacing w:line="440" w:lineRule="exact"/>
        <w:rPr>
          <w:rFonts w:ascii="黑体" w:hAnsi="黑体" w:cs="黑体"/>
        </w:rPr>
      </w:pPr>
      <w:bookmarkStart w:id="18" w:name="_Toc4207"/>
      <w:r>
        <w:rPr>
          <w:rFonts w:hint="eastAsia" w:ascii="黑体" w:hAnsi="黑体" w:cs="黑体"/>
        </w:rPr>
        <w:t>2.1学生素质调查</w:t>
      </w:r>
      <w:bookmarkEnd w:id="18"/>
    </w:p>
    <w:p>
      <w:pPr>
        <w:spacing w:line="440" w:lineRule="exact"/>
        <w:ind w:firstLine="480" w:firstLineChars="200"/>
        <w:rPr>
          <w:rFonts w:asciiTheme="minorEastAsia" w:hAnsiTheme="minorEastAsia" w:eastAsiaTheme="minorEastAsia" w:cstheme="minorEastAsia"/>
        </w:rPr>
      </w:pPr>
      <w:bookmarkStart w:id="19" w:name="_Toc17161"/>
      <w:bookmarkStart w:id="20" w:name="_Toc12790"/>
      <w:r>
        <w:rPr>
          <w:rFonts w:hint="eastAsia" w:asciiTheme="minorEastAsia" w:hAnsiTheme="minorEastAsia" w:eastAsiaTheme="minorEastAsia" w:cstheme="minorEastAsia"/>
        </w:rPr>
        <w:t>改善学生素质，重点是要加强校内德育建设，我们重点把“培养学生自主管理能力”作为德育工作的主要目标。一是每周六开设德育教学讲座，二是每月对学生进行一次国学培训，同时重点加强学生的心理疏导，解决学生的思想困惑。为了保证师生的身体健康，同时也为了丰富学生的业余文化生活，学校设立了早操制，组织师生早操锻炼，学校还采购了大量的足球、篮球、排球、羽毛球等体育设施设备，经常分季节开展各项体育活动和歌咏比赛，丰富校园文化生活。</w:t>
      </w:r>
    </w:p>
    <w:p>
      <w:pPr>
        <w:spacing w:line="440" w:lineRule="exact"/>
        <w:ind w:firstLine="480" w:firstLineChars="200"/>
      </w:pPr>
      <w:r>
        <w:rPr>
          <w:rFonts w:hint="eastAsia"/>
        </w:rPr>
        <w:drawing>
          <wp:anchor distT="0" distB="0" distL="114300" distR="114300" simplePos="0" relativeHeight="251659264" behindDoc="0" locked="0" layoutInCell="1" allowOverlap="1">
            <wp:simplePos x="0" y="0"/>
            <wp:positionH relativeFrom="column">
              <wp:posOffset>-70485</wp:posOffset>
            </wp:positionH>
            <wp:positionV relativeFrom="paragraph">
              <wp:posOffset>382270</wp:posOffset>
            </wp:positionV>
            <wp:extent cx="5598160" cy="2898140"/>
            <wp:effectExtent l="0" t="0" r="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黑体" w:hAnsi="黑体" w:eastAsia="黑体" w:cs="黑体"/>
        </w:rPr>
        <w:pict>
          <v:shape id="_x0000_s1026" o:spid="_x0000_s1026" o:spt="202" type="#_x0000_t202" style="position:absolute;left:0pt;margin-left:113.3pt;margin-top:237.1pt;height:21.1pt;width:219.65pt;z-index:251660288;mso-width-relative:page;mso-height-relative:page;" stroked="f" coordsize="21600,21600" o:gfxdata="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A4289cAAAALAQAADwAAAAAAAAABACAAAAAiAAAA&#10;ZHJzL2Rvd25yZXYueG1sUEsBAhQAFAAAAAgAh07iQDFyeApBAgAATQQAAA4AAAAAAAAAAQAgAAAA&#10;JgEAAGRycy9lMm9Eb2MueG1sUEsFBgAAAAAGAAYAWQEAANkFAAAAAA==&#10;">
            <v:path/>
            <v:fill focussize="0,0"/>
            <v:stroke on="f" weight="0.5pt" joinstyle="miter"/>
            <v:imagedata o:title=""/>
            <o:lock v:ext="edit"/>
            <v:textbox>
              <w:txbxContent>
                <w:p>
                  <w:pP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图表2.1 中职学校学生素质变化图</w:t>
                  </w:r>
                </w:p>
              </w:txbxContent>
            </v:textbox>
          </v:shape>
        </w:pict>
      </w:r>
      <w:r>
        <w:rPr>
          <w:rFonts w:hint="eastAsia"/>
        </w:rPr>
        <w:t>为提高学生综合知识和专业技能水平，我校每学期都组织期末统一考试，通过对一学年内的数据进行分析汇总，对学生学期、学年内的学习效果做出整体评价 ，并开会进行统一通知与疏导。</w:t>
      </w:r>
    </w:p>
    <w:bookmarkEnd w:id="19"/>
    <w:bookmarkEnd w:id="20"/>
    <w:p>
      <w:pPr>
        <w:pStyle w:val="3"/>
        <w:spacing w:line="440" w:lineRule="exact"/>
        <w:jc w:val="left"/>
        <w:rPr>
          <w:rFonts w:ascii="黑体" w:hAnsi="黑体" w:cs="黑体"/>
        </w:rPr>
      </w:pPr>
      <w:bookmarkStart w:id="21" w:name="_Toc13082"/>
      <w:r>
        <w:rPr>
          <w:rFonts w:hint="eastAsia" w:ascii="黑体" w:hAnsi="黑体" w:cs="黑体"/>
        </w:rPr>
        <w:t>2.2在校体验</w:t>
      </w:r>
      <w:bookmarkEnd w:id="21"/>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为全面监测学生在校期间学习、生活等感受，学校对201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级秋季入学的二年级学生从理论学习满意度、专业学习满意度、实习实训满意度、校园文化与社团活动满意度、生活满意度、校园安全满意度进行调查，参与调查问卷</w:t>
      </w:r>
      <w:r>
        <w:rPr>
          <w:rFonts w:hint="eastAsia" w:asciiTheme="minorEastAsia" w:hAnsiTheme="minorEastAsia" w:eastAsiaTheme="minorEastAsia" w:cstheme="minorEastAsia"/>
          <w:lang w:val="en-US" w:eastAsia="zh-CN"/>
        </w:rPr>
        <w:t>27</w:t>
      </w:r>
      <w:r>
        <w:rPr>
          <w:rFonts w:hint="eastAsia" w:asciiTheme="minorEastAsia" w:hAnsiTheme="minorEastAsia" w:eastAsiaTheme="minorEastAsia" w:cstheme="minorEastAsia"/>
        </w:rPr>
        <w:t>人，有效问卷</w:t>
      </w:r>
      <w:r>
        <w:rPr>
          <w:rFonts w:hint="eastAsia" w:asciiTheme="minorEastAsia" w:hAnsiTheme="minorEastAsia" w:eastAsiaTheme="minorEastAsia" w:cstheme="minorEastAsia"/>
          <w:lang w:val="en-US" w:eastAsia="zh-CN"/>
        </w:rPr>
        <w:t>27</w:t>
      </w:r>
      <w:r>
        <w:rPr>
          <w:rFonts w:hint="eastAsia" w:asciiTheme="minorEastAsia" w:hAnsiTheme="minorEastAsia" w:eastAsiaTheme="minorEastAsia" w:cstheme="minorEastAsia"/>
        </w:rPr>
        <w:t>人，具体内容见下表：</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图表2.2 学生在校体验满意度调查表</w:t>
      </w:r>
    </w:p>
    <w:tbl>
      <w:tblPr>
        <w:tblStyle w:val="14"/>
        <w:tblW w:w="8762"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275"/>
        <w:gridCol w:w="1262"/>
        <w:gridCol w:w="1325"/>
        <w:gridCol w:w="1188"/>
        <w:gridCol w:w="1250"/>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调查科目</w:t>
            </w:r>
          </w:p>
        </w:tc>
        <w:tc>
          <w:tcPr>
            <w:tcW w:w="127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理论学习</w:t>
            </w:r>
          </w:p>
        </w:tc>
        <w:tc>
          <w:tcPr>
            <w:tcW w:w="1262"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专业学习</w:t>
            </w:r>
          </w:p>
        </w:tc>
        <w:tc>
          <w:tcPr>
            <w:tcW w:w="132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实习实训</w:t>
            </w:r>
          </w:p>
        </w:tc>
        <w:tc>
          <w:tcPr>
            <w:tcW w:w="1188"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校园文化</w:t>
            </w:r>
          </w:p>
        </w:tc>
        <w:tc>
          <w:tcPr>
            <w:tcW w:w="125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校园生活</w:t>
            </w:r>
          </w:p>
        </w:tc>
        <w:tc>
          <w:tcPr>
            <w:tcW w:w="1237"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校园安全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满意度</w:t>
            </w:r>
          </w:p>
        </w:tc>
        <w:tc>
          <w:tcPr>
            <w:tcW w:w="127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90%</w:t>
            </w:r>
          </w:p>
        </w:tc>
        <w:tc>
          <w:tcPr>
            <w:tcW w:w="1262"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93%</w:t>
            </w:r>
          </w:p>
        </w:tc>
        <w:tc>
          <w:tcPr>
            <w:tcW w:w="132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96%</w:t>
            </w:r>
          </w:p>
        </w:tc>
        <w:tc>
          <w:tcPr>
            <w:tcW w:w="1188"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88%</w:t>
            </w:r>
          </w:p>
        </w:tc>
        <w:tc>
          <w:tcPr>
            <w:tcW w:w="125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w:t>
            </w:r>
          </w:p>
        </w:tc>
        <w:tc>
          <w:tcPr>
            <w:tcW w:w="1237"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95%</w:t>
            </w:r>
          </w:p>
        </w:tc>
      </w:tr>
    </w:tbl>
    <w:p>
      <w:pPr>
        <w:pStyle w:val="3"/>
        <w:spacing w:line="440" w:lineRule="exact"/>
        <w:rPr>
          <w:rFonts w:ascii="黑体" w:hAnsi="黑体" w:cs="黑体"/>
        </w:rPr>
      </w:pPr>
      <w:bookmarkStart w:id="22" w:name="_Toc24697"/>
      <w:r>
        <w:rPr>
          <w:rFonts w:hint="eastAsia" w:ascii="黑体" w:hAnsi="黑体" w:cs="黑体"/>
        </w:rPr>
        <w:t>2.3资助情况</w:t>
      </w:r>
      <w:bookmarkEnd w:id="22"/>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市学生资助管理中心的正确领导下，学校认真贯彻各级资助中心文件精神，通过《告家长书》，发放、张贴《国家学生资助政策宣传单》、班会等途径对国家学生资助政策进行宣传，让每一位学生和家长都知晓国家相关的最新学生资助政策。开学初，依据在校学生必须“在籍在班”的原则，学校对申报国家免学费的学生名单，逐班与班主任进行严格核定，签字确认。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年免学费人数</w:t>
      </w:r>
      <w:r>
        <w:rPr>
          <w:rFonts w:hint="eastAsia" w:asciiTheme="minorEastAsia" w:hAnsiTheme="minorEastAsia" w:eastAsiaTheme="minorEastAsia" w:cstheme="minorEastAsia"/>
          <w:color w:val="000000" w:themeColor="text1"/>
          <w:lang w:val="en-US" w:eastAsia="zh-CN"/>
        </w:rPr>
        <w:t>116</w:t>
      </w:r>
      <w:r>
        <w:rPr>
          <w:rFonts w:hint="eastAsia" w:asciiTheme="minorEastAsia" w:hAnsiTheme="minorEastAsia" w:eastAsiaTheme="minorEastAsia" w:cstheme="minorEastAsia"/>
        </w:rPr>
        <w:t>人，学校建立了以国家助学金和免学费为主，校内困难补助、学费减免相结合为辅的助学方式，助学制度完善，坚持公开、公正、公平，“应免尽免”的原则，没有学生因为经济困难辍学。</w:t>
      </w:r>
    </w:p>
    <w:p>
      <w:pPr>
        <w:spacing w:line="440" w:lineRule="exact"/>
        <w:ind w:firstLine="422" w:firstLineChars="200"/>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图表2.3 中职学校学生资助情况表</w:t>
      </w:r>
    </w:p>
    <w:tbl>
      <w:tblPr>
        <w:tblStyle w:val="13"/>
        <w:tblW w:w="8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693"/>
        <w:gridCol w:w="3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年度</w:t>
            </w:r>
          </w:p>
        </w:tc>
        <w:tc>
          <w:tcPr>
            <w:tcW w:w="269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免学费人数</w:t>
            </w:r>
          </w:p>
        </w:tc>
        <w:tc>
          <w:tcPr>
            <w:tcW w:w="3109"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助学金人数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201</w:t>
            </w:r>
            <w:r>
              <w:rPr>
                <w:rFonts w:hint="eastAsia" w:asciiTheme="minorEastAsia" w:hAnsiTheme="minorEastAsia" w:eastAsiaTheme="minorEastAsia" w:cstheme="minorEastAsia"/>
                <w:color w:val="000000" w:themeColor="text1"/>
                <w:sz w:val="21"/>
                <w:szCs w:val="21"/>
                <w:lang w:val="en-US" w:eastAsia="zh-CN"/>
              </w:rPr>
              <w:t>8</w:t>
            </w:r>
          </w:p>
        </w:tc>
        <w:tc>
          <w:tcPr>
            <w:tcW w:w="269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val="en-US" w:eastAsia="zh-CN"/>
              </w:rPr>
              <w:t>116</w:t>
            </w:r>
          </w:p>
        </w:tc>
        <w:tc>
          <w:tcPr>
            <w:tcW w:w="3109"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val="en-US" w:eastAsia="zh-CN"/>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2019</w:t>
            </w:r>
          </w:p>
        </w:tc>
        <w:tc>
          <w:tcPr>
            <w:tcW w:w="269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108</w:t>
            </w:r>
          </w:p>
        </w:tc>
        <w:tc>
          <w:tcPr>
            <w:tcW w:w="3109"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0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变化</w:t>
            </w:r>
          </w:p>
        </w:tc>
        <w:tc>
          <w:tcPr>
            <w:tcW w:w="269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减少</w:t>
            </w:r>
            <w:r>
              <w:rPr>
                <w:rFonts w:hint="eastAsia" w:asciiTheme="minorEastAsia" w:hAnsiTheme="minorEastAsia" w:eastAsiaTheme="minorEastAsia" w:cstheme="minorEastAsia"/>
                <w:color w:val="000000" w:themeColor="text1"/>
                <w:sz w:val="21"/>
                <w:szCs w:val="21"/>
                <w:lang w:val="en-US" w:eastAsia="zh-CN"/>
              </w:rPr>
              <w:t>8</w:t>
            </w:r>
            <w:r>
              <w:rPr>
                <w:rFonts w:hint="eastAsia" w:asciiTheme="minorEastAsia" w:hAnsiTheme="minorEastAsia" w:eastAsiaTheme="minorEastAsia" w:cstheme="minorEastAsia"/>
                <w:color w:val="000000" w:themeColor="text1"/>
                <w:sz w:val="21"/>
                <w:szCs w:val="21"/>
              </w:rPr>
              <w:t>人</w:t>
            </w:r>
          </w:p>
        </w:tc>
        <w:tc>
          <w:tcPr>
            <w:tcW w:w="3109"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减少</w:t>
            </w:r>
            <w:r>
              <w:rPr>
                <w:rFonts w:hint="eastAsia" w:asciiTheme="minorEastAsia" w:hAnsiTheme="minorEastAsia" w:eastAsiaTheme="minorEastAsia" w:cstheme="minorEastAsia"/>
                <w:color w:val="000000" w:themeColor="text1"/>
                <w:sz w:val="21"/>
                <w:szCs w:val="21"/>
                <w:lang w:val="en-US" w:eastAsia="zh-CN"/>
              </w:rPr>
              <w:t>8</w:t>
            </w:r>
            <w:r>
              <w:rPr>
                <w:rFonts w:hint="eastAsia" w:asciiTheme="minorEastAsia" w:hAnsiTheme="minorEastAsia" w:eastAsiaTheme="minorEastAsia" w:cstheme="minorEastAsia"/>
                <w:color w:val="000000" w:themeColor="text1"/>
                <w:sz w:val="21"/>
                <w:szCs w:val="21"/>
              </w:rPr>
              <w:t>人</w:t>
            </w:r>
          </w:p>
        </w:tc>
      </w:tr>
    </w:tbl>
    <w:p>
      <w:pPr>
        <w:pStyle w:val="3"/>
        <w:spacing w:line="440" w:lineRule="exact"/>
        <w:rPr>
          <w:rFonts w:ascii="黑体" w:hAnsi="黑体" w:cs="黑体"/>
          <w:color w:val="000000" w:themeColor="text1"/>
        </w:rPr>
      </w:pPr>
      <w:bookmarkStart w:id="23" w:name="_Toc8875"/>
      <w:bookmarkStart w:id="24" w:name="_Toc7285"/>
      <w:bookmarkStart w:id="25" w:name="_Toc24309"/>
      <w:r>
        <w:rPr>
          <w:rFonts w:hint="eastAsia" w:ascii="黑体" w:hAnsi="黑体" w:cs="黑体"/>
          <w:color w:val="000000" w:themeColor="text1"/>
        </w:rPr>
        <w:t>2.4就业质量</w:t>
      </w:r>
      <w:bookmarkEnd w:id="23"/>
      <w:bookmarkEnd w:id="24"/>
      <w:bookmarkEnd w:id="25"/>
    </w:p>
    <w:p>
      <w:pPr>
        <w:spacing w:line="440" w:lineRule="exact"/>
        <w:ind w:firstLine="480" w:firstLineChars="200"/>
        <w:rPr>
          <w:rFonts w:asciiTheme="minorEastAsia" w:hAnsiTheme="minorEastAsia" w:eastAsiaTheme="minorEastAsia" w:cstheme="minorEastAsia"/>
        </w:rPr>
      </w:pPr>
      <w:r>
        <w:t>2</w:t>
      </w:r>
      <w:r>
        <w:rPr>
          <w:rFonts w:hint="eastAsia" w:asciiTheme="minorEastAsia" w:hAnsiTheme="minorEastAsia" w:eastAsiaTheme="minorEastAsia" w:cstheme="minorEastAsia"/>
        </w:rPr>
        <w:t>01</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年毕业生就业情况与201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年相比总体保持原状，专业就业率呈现100%就业的趋势，但在初次就业起薪方面有所上升。具体数据见下表：</w:t>
      </w:r>
    </w:p>
    <w:p>
      <w:pPr>
        <w:spacing w:line="440" w:lineRule="exact"/>
        <w:ind w:firstLine="422" w:firstLineChars="200"/>
        <w:jc w:val="center"/>
        <w:rPr>
          <w:rFonts w:asciiTheme="minorEastAsia" w:hAnsiTheme="minorEastAsia" w:eastAsiaTheme="minorEastAsia" w:cstheme="minorEastAsia"/>
          <w:b/>
          <w:bCs/>
          <w:color w:val="000000" w:themeColor="text1"/>
          <w:sz w:val="21"/>
          <w:szCs w:val="21"/>
        </w:rPr>
      </w:pPr>
      <w:r>
        <w:rPr>
          <w:rFonts w:hint="eastAsia" w:asciiTheme="minorEastAsia" w:hAnsiTheme="minorEastAsia" w:eastAsiaTheme="minorEastAsia" w:cstheme="minorEastAsia"/>
          <w:b/>
          <w:bCs/>
          <w:color w:val="000000" w:themeColor="text1"/>
          <w:sz w:val="21"/>
          <w:szCs w:val="21"/>
        </w:rPr>
        <w:t>图表2.4 中职学校学生就业质量表</w:t>
      </w:r>
    </w:p>
    <w:tbl>
      <w:tblPr>
        <w:tblStyle w:val="13"/>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535"/>
        <w:gridCol w:w="2490"/>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41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年度</w:t>
            </w:r>
          </w:p>
        </w:tc>
        <w:tc>
          <w:tcPr>
            <w:tcW w:w="2535"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专业就业率</w:t>
            </w:r>
          </w:p>
        </w:tc>
        <w:tc>
          <w:tcPr>
            <w:tcW w:w="2490"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对口就业率</w:t>
            </w:r>
          </w:p>
        </w:tc>
        <w:tc>
          <w:tcPr>
            <w:tcW w:w="1892"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初次就业起薪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413"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201</w:t>
            </w:r>
            <w:r>
              <w:rPr>
                <w:rFonts w:hint="eastAsia" w:asciiTheme="minorEastAsia" w:hAnsiTheme="minorEastAsia" w:eastAsiaTheme="minorEastAsia" w:cstheme="minorEastAsia"/>
                <w:color w:val="000000" w:themeColor="text1"/>
                <w:sz w:val="21"/>
                <w:szCs w:val="21"/>
                <w:lang w:val="en-US" w:eastAsia="zh-CN"/>
              </w:rPr>
              <w:t>8</w:t>
            </w:r>
          </w:p>
        </w:tc>
        <w:tc>
          <w:tcPr>
            <w:tcW w:w="2535"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c>
          <w:tcPr>
            <w:tcW w:w="2490"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c>
          <w:tcPr>
            <w:tcW w:w="1892"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1896.92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jc w:val="center"/>
        </w:trPr>
        <w:tc>
          <w:tcPr>
            <w:tcW w:w="141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2019</w:t>
            </w:r>
          </w:p>
        </w:tc>
        <w:tc>
          <w:tcPr>
            <w:tcW w:w="2535"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c>
          <w:tcPr>
            <w:tcW w:w="2490" w:type="dxa"/>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100%</w:t>
            </w:r>
          </w:p>
        </w:tc>
        <w:tc>
          <w:tcPr>
            <w:tcW w:w="1892"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1875</w:t>
            </w:r>
          </w:p>
        </w:tc>
      </w:tr>
    </w:tbl>
    <w:p>
      <w:pPr>
        <w:pStyle w:val="3"/>
        <w:spacing w:line="440" w:lineRule="exact"/>
        <w:rPr>
          <w:rFonts w:ascii="黑体" w:hAnsi="黑体" w:cs="黑体"/>
        </w:rPr>
      </w:pPr>
      <w:bookmarkStart w:id="26" w:name="_Toc20694"/>
      <w:bookmarkStart w:id="27" w:name="_Toc7637"/>
      <w:bookmarkStart w:id="28" w:name="_Toc3479"/>
      <w:r>
        <w:rPr>
          <w:rFonts w:hint="eastAsia" w:ascii="黑体" w:hAnsi="黑体" w:cs="黑体"/>
        </w:rPr>
        <w:t>2.5职业发展</w:t>
      </w:r>
      <w:bookmarkEnd w:id="26"/>
      <w:bookmarkEnd w:id="27"/>
      <w:bookmarkEnd w:id="28"/>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对于学生的职业发展我们重点强化学生综合职业能力的培养。通过《职业生涯规划》、《就业指导》、《美容美发企业管理》等多门课程、多种形式学习，以及鼓励学生参加职业技能大赛，使学生在意志品质上得到了极大的锻炼，增强了对未来职业的认同感和未来就业岗位的适应能力。</w:t>
      </w:r>
    </w:p>
    <w:p>
      <w:pPr>
        <w:spacing w:line="44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图表2.5 201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年度学生参加全区职业技能大赛获奖名单</w:t>
      </w:r>
    </w:p>
    <w:tbl>
      <w:tblPr>
        <w:tblStyle w:val="13"/>
        <w:tblW w:w="7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02"/>
        <w:gridCol w:w="660"/>
        <w:gridCol w:w="963"/>
        <w:gridCol w:w="994"/>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90" w:type="dxa"/>
            <w:vMerge w:val="restart"/>
            <w:vAlign w:val="center"/>
          </w:tcPr>
          <w:p>
            <w:pPr>
              <w:spacing w:line="440" w:lineRule="exact"/>
              <w:jc w:val="center"/>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第十</w:t>
            </w:r>
            <w:r>
              <w:rPr>
                <w:rFonts w:hint="eastAsia" w:asciiTheme="minorEastAsia" w:hAnsiTheme="minorEastAsia" w:eastAsiaTheme="minorEastAsia" w:cstheme="minorEastAsia"/>
                <w:color w:val="000000" w:themeColor="text1"/>
                <w:sz w:val="21"/>
                <w:szCs w:val="21"/>
                <w:lang w:eastAsia="zh-CN"/>
              </w:rPr>
              <w:t>二</w:t>
            </w:r>
            <w:r>
              <w:rPr>
                <w:rFonts w:hint="eastAsia" w:asciiTheme="minorEastAsia" w:hAnsiTheme="minorEastAsia" w:eastAsiaTheme="minorEastAsia" w:cstheme="minorEastAsia"/>
                <w:color w:val="000000" w:themeColor="text1"/>
                <w:sz w:val="21"/>
                <w:szCs w:val="21"/>
              </w:rPr>
              <w:t>届全区中等职业学校大赛</w:t>
            </w:r>
          </w:p>
        </w:tc>
        <w:tc>
          <w:tcPr>
            <w:tcW w:w="2202" w:type="dxa"/>
            <w:vAlign w:val="center"/>
          </w:tcPr>
          <w:p>
            <w:pPr>
              <w:spacing w:line="44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标准卷杠</w:t>
            </w:r>
          </w:p>
        </w:tc>
        <w:tc>
          <w:tcPr>
            <w:tcW w:w="660" w:type="dxa"/>
            <w:vMerge w:val="restart"/>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中职</w:t>
            </w:r>
          </w:p>
        </w:tc>
        <w:tc>
          <w:tcPr>
            <w:tcW w:w="96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吴远琦</w:t>
            </w:r>
          </w:p>
        </w:tc>
        <w:tc>
          <w:tcPr>
            <w:tcW w:w="994"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王新</w:t>
            </w:r>
          </w:p>
        </w:tc>
        <w:tc>
          <w:tcPr>
            <w:tcW w:w="1982" w:type="dxa"/>
            <w:vAlign w:val="center"/>
          </w:tcPr>
          <w:p>
            <w:pPr>
              <w:spacing w:line="44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全区大赛</w:t>
            </w:r>
            <w:r>
              <w:rPr>
                <w:rFonts w:hint="eastAsia" w:asciiTheme="minorEastAsia" w:hAnsiTheme="minorEastAsia" w:eastAsiaTheme="minorEastAsia" w:cstheme="minorEastAsia"/>
                <w:color w:val="000000" w:themeColor="text1"/>
                <w:sz w:val="21"/>
                <w:szCs w:val="21"/>
                <w:lang w:eastAsia="zh-CN"/>
              </w:rPr>
              <w:t>二</w:t>
            </w:r>
            <w:r>
              <w:rPr>
                <w:rFonts w:hint="eastAsia" w:asciiTheme="minorEastAsia" w:hAnsiTheme="minorEastAsia" w:eastAsiaTheme="minorEastAsia" w:cstheme="minorEastAsia"/>
                <w:color w:val="000000" w:themeColor="text1"/>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90" w:type="dxa"/>
            <w:vMerge w:val="continue"/>
            <w:vAlign w:val="center"/>
          </w:tcPr>
          <w:p>
            <w:pPr>
              <w:spacing w:line="440" w:lineRule="exact"/>
              <w:jc w:val="center"/>
              <w:rPr>
                <w:rFonts w:asciiTheme="minorEastAsia" w:hAnsiTheme="minorEastAsia" w:eastAsiaTheme="minorEastAsia" w:cstheme="minorEastAsia"/>
                <w:color w:val="000000" w:themeColor="text1"/>
                <w:sz w:val="21"/>
                <w:szCs w:val="21"/>
              </w:rPr>
            </w:pPr>
          </w:p>
        </w:tc>
        <w:tc>
          <w:tcPr>
            <w:tcW w:w="2202" w:type="dxa"/>
            <w:vAlign w:val="center"/>
          </w:tcPr>
          <w:p>
            <w:pPr>
              <w:spacing w:line="44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eastAsia="zh-CN"/>
              </w:rPr>
              <w:t>新娘</w:t>
            </w:r>
            <w:r>
              <w:rPr>
                <w:rFonts w:hint="eastAsia" w:asciiTheme="minorEastAsia" w:hAnsiTheme="minorEastAsia" w:eastAsiaTheme="minorEastAsia" w:cstheme="minorEastAsia"/>
                <w:color w:val="000000" w:themeColor="text1"/>
                <w:sz w:val="21"/>
                <w:szCs w:val="21"/>
              </w:rPr>
              <w:t>晚宴化妆盘发造型</w:t>
            </w:r>
          </w:p>
        </w:tc>
        <w:tc>
          <w:tcPr>
            <w:tcW w:w="660" w:type="dxa"/>
            <w:vMerge w:val="continue"/>
            <w:vAlign w:val="center"/>
          </w:tcPr>
          <w:p>
            <w:pPr>
              <w:spacing w:line="440" w:lineRule="exact"/>
              <w:jc w:val="center"/>
              <w:rPr>
                <w:rFonts w:asciiTheme="minorEastAsia" w:hAnsiTheme="minorEastAsia" w:eastAsiaTheme="minorEastAsia" w:cstheme="minorEastAsia"/>
                <w:color w:val="000000" w:themeColor="text1"/>
                <w:sz w:val="21"/>
                <w:szCs w:val="21"/>
              </w:rPr>
            </w:pPr>
          </w:p>
        </w:tc>
        <w:tc>
          <w:tcPr>
            <w:tcW w:w="96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马思思</w:t>
            </w:r>
          </w:p>
        </w:tc>
        <w:tc>
          <w:tcPr>
            <w:tcW w:w="994"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古佳婧</w:t>
            </w:r>
          </w:p>
        </w:tc>
        <w:tc>
          <w:tcPr>
            <w:tcW w:w="1982" w:type="dxa"/>
            <w:vAlign w:val="center"/>
          </w:tcPr>
          <w:p>
            <w:pPr>
              <w:spacing w:line="44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全区大赛</w:t>
            </w:r>
            <w:r>
              <w:rPr>
                <w:rFonts w:hint="eastAsia" w:asciiTheme="minorEastAsia" w:hAnsiTheme="minorEastAsia" w:eastAsiaTheme="minorEastAsia" w:cstheme="minorEastAsia"/>
                <w:color w:val="000000" w:themeColor="text1"/>
                <w:sz w:val="21"/>
                <w:szCs w:val="21"/>
                <w:lang w:eastAsia="zh-CN"/>
              </w:rPr>
              <w:t>二</w:t>
            </w:r>
            <w:r>
              <w:rPr>
                <w:rFonts w:hint="eastAsia" w:asciiTheme="minorEastAsia" w:hAnsiTheme="minorEastAsia" w:eastAsiaTheme="minorEastAsia" w:cstheme="minorEastAsia"/>
                <w:color w:val="000000" w:themeColor="text1"/>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90" w:type="dxa"/>
            <w:vMerge w:val="continue"/>
            <w:vAlign w:val="center"/>
          </w:tcPr>
          <w:p>
            <w:pPr>
              <w:spacing w:line="440" w:lineRule="exact"/>
              <w:jc w:val="center"/>
              <w:rPr>
                <w:rFonts w:asciiTheme="minorEastAsia" w:hAnsiTheme="minorEastAsia" w:eastAsiaTheme="minorEastAsia" w:cstheme="minorEastAsia"/>
                <w:color w:val="000000" w:themeColor="text1"/>
                <w:sz w:val="21"/>
                <w:szCs w:val="21"/>
              </w:rPr>
            </w:pPr>
          </w:p>
        </w:tc>
        <w:tc>
          <w:tcPr>
            <w:tcW w:w="2202" w:type="dxa"/>
            <w:vAlign w:val="center"/>
          </w:tcPr>
          <w:p>
            <w:pPr>
              <w:spacing w:line="44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lang w:eastAsia="zh-CN"/>
              </w:rPr>
              <w:t>新娘</w:t>
            </w:r>
            <w:r>
              <w:rPr>
                <w:rFonts w:hint="eastAsia" w:asciiTheme="minorEastAsia" w:hAnsiTheme="minorEastAsia" w:eastAsiaTheme="minorEastAsia" w:cstheme="minorEastAsia"/>
                <w:color w:val="000000" w:themeColor="text1"/>
                <w:sz w:val="21"/>
                <w:szCs w:val="21"/>
              </w:rPr>
              <w:t>晚宴化妆盘发造型</w:t>
            </w:r>
          </w:p>
        </w:tc>
        <w:tc>
          <w:tcPr>
            <w:tcW w:w="660" w:type="dxa"/>
            <w:vMerge w:val="continue"/>
            <w:vAlign w:val="center"/>
          </w:tcPr>
          <w:p>
            <w:pPr>
              <w:spacing w:line="440" w:lineRule="exact"/>
              <w:jc w:val="center"/>
              <w:rPr>
                <w:rFonts w:asciiTheme="minorEastAsia" w:hAnsiTheme="minorEastAsia" w:eastAsiaTheme="minorEastAsia" w:cstheme="minorEastAsia"/>
                <w:color w:val="000000" w:themeColor="text1"/>
                <w:sz w:val="21"/>
                <w:szCs w:val="21"/>
              </w:rPr>
            </w:pPr>
          </w:p>
        </w:tc>
        <w:tc>
          <w:tcPr>
            <w:tcW w:w="963"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崔颖</w:t>
            </w:r>
          </w:p>
        </w:tc>
        <w:tc>
          <w:tcPr>
            <w:tcW w:w="994" w:type="dxa"/>
            <w:vAlign w:val="center"/>
          </w:tcPr>
          <w:p>
            <w:pPr>
              <w:spacing w:line="440" w:lineRule="exact"/>
              <w:jc w:val="center"/>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lang w:eastAsia="zh-CN"/>
              </w:rPr>
              <w:t>古佳婧</w:t>
            </w:r>
          </w:p>
        </w:tc>
        <w:tc>
          <w:tcPr>
            <w:tcW w:w="1982" w:type="dxa"/>
            <w:vAlign w:val="center"/>
          </w:tcPr>
          <w:p>
            <w:pPr>
              <w:spacing w:line="440" w:lineRule="exact"/>
              <w:jc w:val="center"/>
              <w:rPr>
                <w:rFonts w:hint="eastAsia"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全区大赛</w:t>
            </w:r>
            <w:r>
              <w:rPr>
                <w:rFonts w:hint="eastAsia" w:asciiTheme="minorEastAsia" w:hAnsiTheme="minorEastAsia" w:eastAsiaTheme="minorEastAsia" w:cstheme="minorEastAsia"/>
                <w:color w:val="000000" w:themeColor="text1"/>
                <w:sz w:val="21"/>
                <w:szCs w:val="21"/>
                <w:lang w:eastAsia="zh-CN"/>
              </w:rPr>
              <w:t>三</w:t>
            </w:r>
            <w:r>
              <w:rPr>
                <w:rFonts w:hint="eastAsia" w:asciiTheme="minorEastAsia" w:hAnsiTheme="minorEastAsia" w:eastAsiaTheme="minorEastAsia" w:cstheme="minorEastAsia"/>
                <w:color w:val="000000" w:themeColor="text1"/>
                <w:sz w:val="21"/>
                <w:szCs w:val="21"/>
              </w:rPr>
              <w:t>等奖</w:t>
            </w:r>
          </w:p>
        </w:tc>
      </w:tr>
    </w:tbl>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我校注重加强学生创新创业培训，将创新创业能力训练融入课堂里。通过创业培训增强了学生创业意识，树立了创业信心，培养了学生的创新创业能力，也提高了他们对社会的认识度。</w:t>
      </w:r>
    </w:p>
    <w:p>
      <w:pPr>
        <w:pStyle w:val="2"/>
        <w:numPr>
          <w:ilvl w:val="0"/>
          <w:numId w:val="3"/>
        </w:numPr>
        <w:spacing w:line="440" w:lineRule="exact"/>
        <w:rPr>
          <w:rFonts w:ascii="黑体" w:hAnsi="黑体" w:cs="黑体"/>
        </w:rPr>
      </w:pPr>
      <w:bookmarkStart w:id="29" w:name="_Toc17674"/>
      <w:r>
        <w:rPr>
          <w:rFonts w:hint="eastAsia" w:ascii="黑体" w:hAnsi="黑体" w:cs="黑体"/>
        </w:rPr>
        <w:t>质量保障措施</w:t>
      </w:r>
      <w:bookmarkEnd w:id="29"/>
    </w:p>
    <w:p>
      <w:pPr>
        <w:pStyle w:val="3"/>
        <w:spacing w:line="440" w:lineRule="exact"/>
        <w:rPr>
          <w:rFonts w:ascii="黑体" w:hAnsi="黑体" w:cs="黑体"/>
        </w:rPr>
      </w:pPr>
      <w:bookmarkStart w:id="30" w:name="_Toc11135"/>
      <w:r>
        <w:rPr>
          <w:rFonts w:hint="eastAsia" w:ascii="黑体" w:hAnsi="黑体" w:cs="黑体"/>
        </w:rPr>
        <w:t>3.1专业动态调整</w:t>
      </w:r>
      <w:bookmarkEnd w:id="30"/>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在市场最新动态需求下，学校陆续对各专业进行整理并完成了新一轮专业培养方案修订工作。专业建设坚持 “优化结构、强化特色、着眼发展”的原则，广泛开展调研分析，掌握专业建设现状，明确专业建设思路，201</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年我校继续完善美发与形象设计专业（化妆）。</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图表3.1 201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年教育教学改革表</w:t>
      </w:r>
    </w:p>
    <w:tbl>
      <w:tblPr>
        <w:tblStyle w:val="14"/>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0"/>
        <w:gridCol w:w="795"/>
        <w:gridCol w:w="660"/>
        <w:gridCol w:w="735"/>
        <w:gridCol w:w="1230"/>
        <w:gridCol w:w="1200"/>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专业设置</w:t>
            </w:r>
          </w:p>
        </w:tc>
        <w:tc>
          <w:tcPr>
            <w:tcW w:w="7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新增</w:t>
            </w:r>
          </w:p>
        </w:tc>
        <w:tc>
          <w:tcPr>
            <w:tcW w:w="66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停办</w:t>
            </w:r>
          </w:p>
        </w:tc>
        <w:tc>
          <w:tcPr>
            <w:tcW w:w="73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撤销</w:t>
            </w:r>
          </w:p>
        </w:tc>
        <w:tc>
          <w:tcPr>
            <w:tcW w:w="123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与当地产业吻合度</w:t>
            </w:r>
          </w:p>
        </w:tc>
        <w:tc>
          <w:tcPr>
            <w:tcW w:w="120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毕业生本地就业数</w:t>
            </w:r>
          </w:p>
        </w:tc>
        <w:tc>
          <w:tcPr>
            <w:tcW w:w="13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毕业生对口专业就业数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美发与形象设计(美发)</w:t>
            </w:r>
          </w:p>
        </w:tc>
        <w:tc>
          <w:tcPr>
            <w:tcW w:w="7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66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73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23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200" w:type="dxa"/>
          </w:tcPr>
          <w:p>
            <w:pPr>
              <w:spacing w:line="4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1395" w:type="dxa"/>
          </w:tcPr>
          <w:p>
            <w:pPr>
              <w:spacing w:line="4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82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美容美体专业（国际美容）</w:t>
            </w:r>
          </w:p>
        </w:tc>
        <w:tc>
          <w:tcPr>
            <w:tcW w:w="7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66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73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23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200" w:type="dxa"/>
          </w:tcPr>
          <w:p>
            <w:pPr>
              <w:spacing w:line="44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5</w:t>
            </w:r>
          </w:p>
        </w:tc>
        <w:tc>
          <w:tcPr>
            <w:tcW w:w="1395" w:type="dxa"/>
          </w:tcPr>
          <w:p>
            <w:pPr>
              <w:spacing w:line="440" w:lineRule="exact"/>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282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美发与形象设计(化妆)</w:t>
            </w:r>
          </w:p>
        </w:tc>
        <w:tc>
          <w:tcPr>
            <w:tcW w:w="7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66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73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23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200" w:type="dxa"/>
          </w:tcPr>
          <w:p>
            <w:pPr>
              <w:spacing w:line="4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1395" w:type="dxa"/>
          </w:tcPr>
          <w:p>
            <w:pPr>
              <w:spacing w:line="4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p>
        </w:tc>
      </w:tr>
    </w:tbl>
    <w:p>
      <w:pPr>
        <w:spacing w:line="440" w:lineRule="exact"/>
        <w:ind w:firstLine="480" w:firstLineChars="200"/>
        <w:rPr>
          <w:rFonts w:asciiTheme="minorEastAsia" w:hAnsiTheme="minorEastAsia" w:eastAsiaTheme="minorEastAsia" w:cstheme="minorEastAsia"/>
        </w:rPr>
      </w:pPr>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我校依据中等职业学校人才培养方案，依据行业发展动态，滚动修改教学计划，并能履行审批程序。各专业都能根据培养目标的要求开发出较贴近市场的课程，教学内容能体现相关行业的新知识、新技术、新工艺、新方法。</w:t>
      </w:r>
    </w:p>
    <w:p>
      <w:pPr>
        <w:pStyle w:val="3"/>
        <w:spacing w:line="440" w:lineRule="exact"/>
        <w:rPr>
          <w:rFonts w:ascii="黑体" w:hAnsi="黑体" w:cs="黑体"/>
        </w:rPr>
      </w:pPr>
      <w:bookmarkStart w:id="31" w:name="_Toc12628"/>
      <w:r>
        <w:rPr>
          <w:rFonts w:hint="eastAsia" w:ascii="黑体" w:hAnsi="黑体" w:cs="黑体"/>
        </w:rPr>
        <w:t>3.2教育教学改革</w:t>
      </w:r>
      <w:bookmarkEnd w:id="31"/>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专业设置上我校开设的课程主要有：公共基础课4门，包括：语文、素描与色彩、心理健康、体育；专业基础课4门，包括：英语、服饰与造型、美容美发企业管理、思想道德修养与法律基础；专业课：9门，美发类--专业烫染班、经典修剪班、美发研修班，美容类--美容全科班、芳香保健班、中医美容班，化妆类--基础化妆班、影楼造型班、整体形象设计班。每年度我们都会根据市场对人才的需求情况，以就业为导向对教学内容进行调整，每年安排任课教师根据教学计划拟订教学大纲，经教研组讨论通过后报经教学管理中心和分管校长审批。学校对教师备课、教案、授课、技能指导、作业批改、辅导等均有明确要求，经常检查讲评。在教学方面，我们一改传统单一的讲授法，提倡教师使用启发式、讨论式、辩论式、对话式等授课形式，有效地培养学生的思维能力和分析解决问题的能力，调动学生的学习的积极性和创造性，培养学生的创新意识。</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图表3.2.1 201</w:t>
      </w:r>
      <w:r>
        <w:rPr>
          <w:rFonts w:hint="eastAsia" w:asciiTheme="minorEastAsia" w:hAnsiTheme="minorEastAsia" w:eastAsiaTheme="minorEastAsia" w:cstheme="minorEastAsia"/>
          <w:b/>
          <w:bCs/>
          <w:sz w:val="21"/>
          <w:szCs w:val="21"/>
          <w:lang w:val="en-US" w:eastAsia="zh-CN"/>
        </w:rPr>
        <w:t>7</w:t>
      </w:r>
      <w:r>
        <w:rPr>
          <w:rFonts w:hint="eastAsia" w:asciiTheme="minorEastAsia" w:hAnsiTheme="minorEastAsia" w:eastAsiaTheme="minorEastAsia" w:cstheme="minorEastAsia"/>
          <w:b/>
          <w:bCs/>
          <w:sz w:val="21"/>
          <w:szCs w:val="21"/>
        </w:rPr>
        <w:t>年度——201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年度各专业招生统计表</w:t>
      </w:r>
    </w:p>
    <w:tbl>
      <w:tblPr>
        <w:tblStyle w:val="14"/>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641"/>
        <w:gridCol w:w="1275"/>
        <w:gridCol w:w="1575"/>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c>
          <w:tcPr>
            <w:tcW w:w="264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w:t>
            </w:r>
          </w:p>
        </w:tc>
        <w:tc>
          <w:tcPr>
            <w:tcW w:w="127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实际招生数</w:t>
            </w:r>
          </w:p>
        </w:tc>
        <w:tc>
          <w:tcPr>
            <w:tcW w:w="157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实际报到人数</w:t>
            </w:r>
          </w:p>
        </w:tc>
        <w:tc>
          <w:tcPr>
            <w:tcW w:w="2204"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各专业专业教师人数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 w:type="dxa"/>
            <w:vMerge w:val="restart"/>
            <w:vAlign w:val="top"/>
          </w:tcPr>
          <w:p>
            <w:pPr>
              <w:spacing w:line="440" w:lineRule="exact"/>
              <w:jc w:val="center"/>
              <w:rPr>
                <w:rFonts w:asciiTheme="minorEastAsia" w:hAnsiTheme="minorEastAsia" w:eastAsiaTheme="minorEastAsia" w:cstheme="minorEastAsia"/>
                <w:sz w:val="21"/>
                <w:szCs w:val="21"/>
              </w:rPr>
            </w:pPr>
          </w:p>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7</w:t>
            </w: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美发与形象设计(美发)</w:t>
            </w:r>
          </w:p>
        </w:tc>
        <w:tc>
          <w:tcPr>
            <w:tcW w:w="12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15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2204"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 w:type="dxa"/>
            <w:vMerge w:val="continue"/>
            <w:vAlign w:val="top"/>
          </w:tcPr>
          <w:p>
            <w:pPr>
              <w:spacing w:line="440" w:lineRule="exact"/>
              <w:jc w:val="center"/>
              <w:rPr>
                <w:rFonts w:asciiTheme="minorEastAsia" w:hAnsiTheme="minorEastAsia" w:eastAsiaTheme="minorEastAsia" w:cstheme="minorEastAsia"/>
                <w:sz w:val="21"/>
                <w:szCs w:val="21"/>
              </w:rPr>
            </w:pP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美容美体专业（国际美容）</w:t>
            </w:r>
          </w:p>
        </w:tc>
        <w:tc>
          <w:tcPr>
            <w:tcW w:w="12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15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2204"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5" w:type="dxa"/>
            <w:vMerge w:val="continue"/>
            <w:vAlign w:val="top"/>
          </w:tcPr>
          <w:p>
            <w:pPr>
              <w:spacing w:line="440" w:lineRule="exact"/>
              <w:jc w:val="center"/>
              <w:rPr>
                <w:rFonts w:asciiTheme="minorEastAsia" w:hAnsiTheme="minorEastAsia" w:eastAsiaTheme="minorEastAsia" w:cstheme="minorEastAsia"/>
                <w:sz w:val="21"/>
                <w:szCs w:val="21"/>
              </w:rPr>
            </w:pP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美发与形象设计(化妆)</w:t>
            </w:r>
          </w:p>
        </w:tc>
        <w:tc>
          <w:tcPr>
            <w:tcW w:w="12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15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2204"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75" w:type="dxa"/>
            <w:vMerge w:val="restart"/>
            <w:vAlign w:val="top"/>
          </w:tcPr>
          <w:p>
            <w:pPr>
              <w:spacing w:line="440" w:lineRule="exact"/>
              <w:jc w:val="center"/>
              <w:rPr>
                <w:rFonts w:asciiTheme="minorEastAsia" w:hAnsiTheme="minorEastAsia" w:eastAsiaTheme="minorEastAsia" w:cstheme="minorEastAsia"/>
                <w:sz w:val="21"/>
                <w:szCs w:val="21"/>
              </w:rPr>
            </w:pPr>
          </w:p>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美发与形象设计(美发)</w:t>
            </w:r>
          </w:p>
        </w:tc>
        <w:tc>
          <w:tcPr>
            <w:tcW w:w="12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p>
        </w:tc>
        <w:tc>
          <w:tcPr>
            <w:tcW w:w="15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11</w:t>
            </w:r>
          </w:p>
        </w:tc>
        <w:tc>
          <w:tcPr>
            <w:tcW w:w="2204"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75" w:type="dxa"/>
            <w:vMerge w:val="continue"/>
            <w:vAlign w:val="top"/>
          </w:tcPr>
          <w:p>
            <w:pPr>
              <w:spacing w:line="440" w:lineRule="exact"/>
              <w:jc w:val="center"/>
              <w:rPr>
                <w:rFonts w:asciiTheme="minorEastAsia" w:hAnsiTheme="minorEastAsia" w:eastAsiaTheme="minorEastAsia" w:cstheme="minorEastAsia"/>
                <w:sz w:val="21"/>
                <w:szCs w:val="21"/>
              </w:rPr>
            </w:pP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美容美体专业（国际美容）</w:t>
            </w:r>
          </w:p>
        </w:tc>
        <w:tc>
          <w:tcPr>
            <w:tcW w:w="12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15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2</w:t>
            </w:r>
          </w:p>
        </w:tc>
        <w:tc>
          <w:tcPr>
            <w:tcW w:w="2204"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75" w:type="dxa"/>
            <w:vMerge w:val="continue"/>
            <w:vAlign w:val="top"/>
          </w:tcPr>
          <w:p>
            <w:pPr>
              <w:spacing w:line="440" w:lineRule="exact"/>
              <w:jc w:val="center"/>
              <w:rPr>
                <w:rFonts w:asciiTheme="minorEastAsia" w:hAnsiTheme="minorEastAsia" w:eastAsiaTheme="minorEastAsia" w:cstheme="minorEastAsia"/>
                <w:sz w:val="21"/>
                <w:szCs w:val="21"/>
              </w:rPr>
            </w:pP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美发与形象设计(化妆)</w:t>
            </w:r>
          </w:p>
        </w:tc>
        <w:tc>
          <w:tcPr>
            <w:tcW w:w="12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p>
        </w:tc>
        <w:tc>
          <w:tcPr>
            <w:tcW w:w="157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14</w:t>
            </w:r>
          </w:p>
        </w:tc>
        <w:tc>
          <w:tcPr>
            <w:tcW w:w="2204"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75" w:type="dxa"/>
            <w:vMerge w:val="restart"/>
          </w:tcPr>
          <w:p>
            <w:pPr>
              <w:spacing w:line="440" w:lineRule="exact"/>
              <w:jc w:val="center"/>
              <w:rPr>
                <w:rFonts w:hint="eastAsia" w:asciiTheme="minorEastAsia" w:hAnsiTheme="minorEastAsia" w:eastAsiaTheme="minorEastAsia" w:cstheme="minorEastAsia"/>
                <w:sz w:val="21"/>
                <w:szCs w:val="21"/>
                <w:lang w:val="en-US" w:eastAsia="zh-CN"/>
              </w:rPr>
            </w:pPr>
          </w:p>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w:t>
            </w: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美发与形象设计(美发)</w:t>
            </w:r>
          </w:p>
        </w:tc>
        <w:tc>
          <w:tcPr>
            <w:tcW w:w="127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1575" w:type="dxa"/>
            <w:vAlign w:val="top"/>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w:t>
            </w:r>
          </w:p>
        </w:tc>
        <w:tc>
          <w:tcPr>
            <w:tcW w:w="2204"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75" w:type="dxa"/>
            <w:vMerge w:val="continue"/>
          </w:tcPr>
          <w:p>
            <w:pPr>
              <w:spacing w:line="440" w:lineRule="exact"/>
              <w:jc w:val="center"/>
              <w:rPr>
                <w:rFonts w:asciiTheme="minorEastAsia" w:hAnsiTheme="minorEastAsia" w:eastAsiaTheme="minorEastAsia" w:cstheme="minorEastAsia"/>
                <w:sz w:val="21"/>
                <w:szCs w:val="21"/>
              </w:rPr>
            </w:pP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美容美体专业（国际美容）</w:t>
            </w:r>
          </w:p>
        </w:tc>
        <w:tc>
          <w:tcPr>
            <w:tcW w:w="127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575" w:type="dxa"/>
            <w:vAlign w:val="top"/>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204"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975" w:type="dxa"/>
            <w:vMerge w:val="continue"/>
          </w:tcPr>
          <w:p>
            <w:pPr>
              <w:spacing w:line="440" w:lineRule="exact"/>
              <w:jc w:val="center"/>
              <w:rPr>
                <w:rFonts w:asciiTheme="minorEastAsia" w:hAnsiTheme="minorEastAsia" w:eastAsiaTheme="minorEastAsia" w:cstheme="minorEastAsia"/>
                <w:sz w:val="21"/>
                <w:szCs w:val="21"/>
              </w:rPr>
            </w:pPr>
          </w:p>
        </w:tc>
        <w:tc>
          <w:tcPr>
            <w:tcW w:w="264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美发与形象设计(化妆)</w:t>
            </w:r>
          </w:p>
        </w:tc>
        <w:tc>
          <w:tcPr>
            <w:tcW w:w="127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1575" w:type="dxa"/>
            <w:vAlign w:val="top"/>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2204"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r>
    </w:tbl>
    <w:p>
      <w:pPr>
        <w:spacing w:line="440" w:lineRule="exact"/>
        <w:rPr>
          <w:rFonts w:asciiTheme="minorEastAsia" w:hAnsiTheme="minorEastAsia" w:eastAsiaTheme="minorEastAsia" w:cstheme="minorEastAsia"/>
        </w:rPr>
      </w:pPr>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日常教学过程中要求教师备课要深，上课要实，作业要精，教学要活，手段要新，活动要勤，考核要严，负担要轻，质量要高。每月对优秀教案、创新教学方法进行总结推广。学校高度重视学生学籍管理、教学档案管理和教材管理，有效地配合了教学。</w:t>
      </w:r>
    </w:p>
    <w:p>
      <w:pPr>
        <w:spacing w:line="44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图表3.2.2 近两年教材选用情况统计表</w:t>
      </w:r>
    </w:p>
    <w:tbl>
      <w:tblPr>
        <w:tblStyle w:val="14"/>
        <w:tblW w:w="8753" w:type="dxa"/>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145"/>
        <w:gridCol w:w="2265"/>
        <w:gridCol w:w="169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53"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学年</w:t>
            </w:r>
          </w:p>
        </w:tc>
        <w:tc>
          <w:tcPr>
            <w:tcW w:w="214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教材总数（本）</w:t>
            </w:r>
          </w:p>
        </w:tc>
        <w:tc>
          <w:tcPr>
            <w:tcW w:w="226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征订教材总数（本）</w:t>
            </w:r>
          </w:p>
        </w:tc>
        <w:tc>
          <w:tcPr>
            <w:tcW w:w="16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选用数量</w:t>
            </w:r>
          </w:p>
        </w:tc>
        <w:tc>
          <w:tcPr>
            <w:tcW w:w="169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选用比例</w:t>
            </w:r>
          </w:p>
          <w:p>
            <w:pPr>
              <w:spacing w:line="440" w:lineRule="exact"/>
              <w:jc w:val="center"/>
              <w:rPr>
                <w:rFonts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953"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p>
        </w:tc>
        <w:tc>
          <w:tcPr>
            <w:tcW w:w="214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226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69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169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53"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w:t>
            </w:r>
          </w:p>
        </w:tc>
        <w:tc>
          <w:tcPr>
            <w:tcW w:w="214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226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169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c>
          <w:tcPr>
            <w:tcW w:w="169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r>
    </w:tbl>
    <w:p>
      <w:pPr>
        <w:spacing w:line="440" w:lineRule="exact"/>
        <w:ind w:firstLine="480" w:firstLineChars="200"/>
      </w:pPr>
      <w:r>
        <w:rPr>
          <w:rFonts w:hint="eastAsia"/>
        </w:rPr>
        <w:t>学校高度重视加强信息化教学，推动信息技术和教育技术的融合。对教师PPT、微视频、 微课网络课程建设技能和方法进行专项培训和辅导。同时我们还聘请省内外专家就教学设计、课堂实录、实训教学比赛进行理念、 参赛方法和技巧分析，并指导老师具体操作，让教师将信息化技术运用到教学过程中，提升教学成效。</w:t>
      </w:r>
    </w:p>
    <w:p>
      <w:pPr>
        <w:spacing w:line="440" w:lineRule="exact"/>
        <w:ind w:firstLine="480" w:firstLineChars="200"/>
      </w:pPr>
      <w:r>
        <w:rPr>
          <w:rFonts w:hint="eastAsia"/>
        </w:rPr>
        <w:t>实训基地：校内建有美发与形象设计（美发）、美容美体专业（国际美容）、美发与形象设计（化妆）实训室共</w:t>
      </w:r>
      <w:r>
        <w:rPr>
          <w:rFonts w:hint="eastAsia"/>
          <w:lang w:val="en-US" w:eastAsia="zh-CN"/>
        </w:rPr>
        <w:t>9</w:t>
      </w:r>
      <w:r>
        <w:rPr>
          <w:rFonts w:hint="eastAsia"/>
        </w:rPr>
        <w:t xml:space="preserve"> 个，为学生实习实训和顶岗实习提供了重要场所。</w:t>
      </w:r>
    </w:p>
    <w:p>
      <w:pPr>
        <w:pStyle w:val="3"/>
        <w:spacing w:line="440" w:lineRule="exact"/>
        <w:rPr>
          <w:rFonts w:ascii="黑体" w:hAnsi="黑体" w:cs="黑体"/>
        </w:rPr>
      </w:pPr>
      <w:bookmarkStart w:id="32" w:name="_Toc19438"/>
      <w:r>
        <w:rPr>
          <w:rFonts w:hint="eastAsia" w:ascii="黑体" w:hAnsi="黑体" w:cs="黑体"/>
        </w:rPr>
        <w:t>3.3教师培养培训</w:t>
      </w:r>
      <w:bookmarkEnd w:id="32"/>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今年我校组织相关人员和骨干教师参加了年度专业进修学习，对所有教师学习成果也做了相关考核与评定。同时积极派出教师参加市级培训。</w:t>
      </w:r>
    </w:p>
    <w:p>
      <w:pPr>
        <w:spacing w:line="44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图表3.3 教师培训情况统计表</w:t>
      </w:r>
    </w:p>
    <w:tbl>
      <w:tblPr>
        <w:tblStyle w:val="14"/>
        <w:tblW w:w="8904"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1"/>
        <w:gridCol w:w="2251"/>
        <w:gridCol w:w="22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c>
          <w:tcPr>
            <w:tcW w:w="225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专业培训</w:t>
            </w:r>
          </w:p>
        </w:tc>
        <w:tc>
          <w:tcPr>
            <w:tcW w:w="225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市级培训</w:t>
            </w:r>
          </w:p>
        </w:tc>
        <w:tc>
          <w:tcPr>
            <w:tcW w:w="2251"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p>
        </w:tc>
        <w:tc>
          <w:tcPr>
            <w:tcW w:w="225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10次</w:t>
            </w:r>
          </w:p>
        </w:tc>
        <w:tc>
          <w:tcPr>
            <w:tcW w:w="225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1次</w:t>
            </w:r>
          </w:p>
        </w:tc>
        <w:tc>
          <w:tcPr>
            <w:tcW w:w="2251"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1"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w:t>
            </w:r>
          </w:p>
        </w:tc>
        <w:tc>
          <w:tcPr>
            <w:tcW w:w="2251"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10次</w:t>
            </w:r>
          </w:p>
        </w:tc>
        <w:tc>
          <w:tcPr>
            <w:tcW w:w="2251"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2次</w:t>
            </w:r>
          </w:p>
        </w:tc>
        <w:tc>
          <w:tcPr>
            <w:tcW w:w="2251"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12次</w:t>
            </w:r>
          </w:p>
        </w:tc>
      </w:tr>
    </w:tbl>
    <w:p>
      <w:pPr>
        <w:pStyle w:val="3"/>
        <w:spacing w:line="440" w:lineRule="exact"/>
        <w:rPr>
          <w:rFonts w:ascii="黑体" w:hAnsi="黑体" w:cs="黑体"/>
        </w:rPr>
      </w:pPr>
      <w:bookmarkStart w:id="33" w:name="_Toc12481"/>
      <w:r>
        <w:rPr>
          <w:rFonts w:hint="eastAsia" w:ascii="黑体" w:hAnsi="黑体" w:cs="黑体"/>
        </w:rPr>
        <w:t>3.4规范管理情况</w:t>
      </w:r>
      <w:bookmarkEnd w:id="33"/>
    </w:p>
    <w:p>
      <w:pPr>
        <w:spacing w:line="440" w:lineRule="exact"/>
        <w:ind w:firstLine="480" w:firstLineChars="200"/>
      </w:pPr>
      <w:r>
        <w:rPr>
          <w:rFonts w:hint="eastAsia"/>
        </w:rPr>
        <w:t>对于管理队伍建设，我校会经常对员工进行企业文化培训。通过企业文化学习，统一思想认识，保证思想上合心、工作上合拍、行动上合力、形象上合格；同时我们还会加强政策法规学习，提高政策理论水平，保证正确决策和做正确的事；在日常工作中我们也会贯彻多鼓励、压担子、勤指导的方针，让大家在工作中得到培养锻炼，提高素质，胜任本职。</w:t>
      </w:r>
    </w:p>
    <w:p>
      <w:pPr>
        <w:spacing w:line="440" w:lineRule="exact"/>
        <w:ind w:firstLine="480" w:firstLineChars="200"/>
      </w:pPr>
      <w:r>
        <w:rPr>
          <w:rFonts w:hint="eastAsia"/>
        </w:rPr>
        <w:t>为了规范教学管理，我校制定了教学管理制度、教师晋级制度、教学管理工作责任及事故认定办法、考试管理制度等多个方面的制度。每个方面都制定了严格的质量标准和评价办法。在教学人才培养方面建立老带新培养机制，由教学经验丰富的老教师作为青年教师的引领者，促进青年教师成长。在日常教学中，我们会定期对教师教学质量进行测评并公布结果，从而有效促进我校教学质量的不断提高。</w:t>
      </w:r>
    </w:p>
    <w:p>
      <w:pPr>
        <w:spacing w:line="440" w:lineRule="exact"/>
        <w:ind w:firstLine="480" w:firstLineChars="200"/>
      </w:pPr>
      <w:r>
        <w:rPr>
          <w:rFonts w:hint="eastAsia"/>
        </w:rPr>
        <w:t>学生管理: 为了我校学生管理工作的完整性、准确性，我们编制了《学员管理制度》、《学生守则》等，并制定了集体和个人奖励措施及办法，在编写学员管理制度汇编过程中，坚持德育为首，倾注“爱”字当头，“严”在其中的教育理念和情感。目的是让每个学生认真学习，以此书为标准来严格规范自己行为，从而达到对学生德育养成的目的。</w:t>
      </w:r>
    </w:p>
    <w:p>
      <w:pPr>
        <w:spacing w:line="440" w:lineRule="exact"/>
        <w:ind w:firstLine="480" w:firstLineChars="200"/>
      </w:pPr>
      <w:r>
        <w:rPr>
          <w:rFonts w:hint="eastAsia"/>
        </w:rPr>
        <w:t>财务管理：严格执行国家财经纪律和政策，认真落实上级有关财务规定，建立健全学校财务管理制度，加强了内部控制，明确财务部门岗位职责。同时我们严格执行“收支两条线”政策，学校收入由财务科统一归口管理，不乱收费，公开透明。并按要求管理和使用票据，完善报销审核程序。</w:t>
      </w:r>
    </w:p>
    <w:p>
      <w:pPr>
        <w:spacing w:line="440" w:lineRule="exact"/>
        <w:ind w:firstLine="480" w:firstLineChars="200"/>
      </w:pPr>
      <w:r>
        <w:rPr>
          <w:rFonts w:hint="eastAsia"/>
        </w:rPr>
        <w:t>后勤管理：始终坚持服务教学、服务师生、厉行节约、保障有力的思想，团结协作抓队伍，攻坚克难讲效率。 工作中，加强了制度建设，工作程序得到了进一步规范。</w:t>
      </w:r>
    </w:p>
    <w:p>
      <w:pPr>
        <w:spacing w:line="440" w:lineRule="exact"/>
        <w:ind w:firstLine="480" w:firstLineChars="200"/>
      </w:pPr>
      <w:r>
        <w:rPr>
          <w:rFonts w:hint="eastAsia"/>
        </w:rPr>
        <w:t>安全管理：在完善学校安全保卫工作的同时建立了各项规章制度，健全定期检查和日常防范自查自纠相结合的安全管理机制。对涉及学校安全保卫的各项工作，都能做到有章可循，违章必究，不留盲点，不出漏洞。</w:t>
      </w:r>
    </w:p>
    <w:p>
      <w:pPr>
        <w:pStyle w:val="3"/>
        <w:spacing w:line="440" w:lineRule="exact"/>
        <w:rPr>
          <w:rFonts w:ascii="黑体" w:hAnsi="黑体" w:cs="黑体"/>
        </w:rPr>
      </w:pPr>
      <w:bookmarkStart w:id="34" w:name="_Toc31118"/>
      <w:r>
        <w:rPr>
          <w:rFonts w:hint="eastAsia" w:ascii="黑体" w:hAnsi="黑体" w:cs="黑体"/>
        </w:rPr>
        <w:t>3.5德育工作情况</w:t>
      </w:r>
      <w:bookmarkEnd w:id="34"/>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对于德育工作，学校将职业生涯规划、职业道德与法律、心理健康作为德育必修课，围绕学生发展核心素养为主题，让学生掌握能够适应终身发展和社会发展需要的必备品格和关键能力。并在一年级新生入学教育中，集中一周时间开展德育教育，讲规矩、讲法制、讲就业、讲人生，着力帮助学生树立信心，坚定理想，成就出彩人生。</w:t>
      </w:r>
    </w:p>
    <w:p>
      <w:pPr>
        <w:numPr>
          <w:ilvl w:val="0"/>
          <w:numId w:val="4"/>
        </w:numPr>
        <w:spacing w:line="440" w:lineRule="exact"/>
        <w:rPr>
          <w:rFonts w:asciiTheme="minorEastAsia" w:hAnsiTheme="minorEastAsia" w:eastAsiaTheme="minorEastAsia" w:cstheme="minorEastAsia"/>
        </w:rPr>
      </w:pPr>
      <w:r>
        <w:rPr>
          <w:rFonts w:hint="eastAsia" w:asciiTheme="minorEastAsia" w:hAnsiTheme="minorEastAsia" w:eastAsiaTheme="minorEastAsia" w:cstheme="minorEastAsia"/>
        </w:rPr>
        <w:t>开设“德育大课堂”对学生进行思想品德和法治教育；分步骤、分年级，开展以尊长、知礼、感恩、孝敬父母为主题的讲座，让学生潜移默化地养成良好的行为习惯，营造积极向上的校园育人环境。</w:t>
      </w:r>
    </w:p>
    <w:p>
      <w:pPr>
        <w:spacing w:line="440" w:lineRule="exact"/>
        <w:rPr>
          <w:rFonts w:asciiTheme="minorEastAsia" w:hAnsiTheme="minorEastAsia" w:eastAsiaTheme="minorEastAsia" w:cstheme="minorEastAsia"/>
        </w:rPr>
      </w:pPr>
      <w:r>
        <w:rPr>
          <w:rFonts w:hint="eastAsia" w:asciiTheme="minorEastAsia" w:hAnsiTheme="minorEastAsia" w:eastAsiaTheme="minorEastAsia" w:cstheme="minorEastAsia"/>
        </w:rPr>
        <w:t>2.开展文明风采活动，组织“文明风采”大赛。统一安排部署，共同精心策划，严把参赛作品质量关，通过选拔、筛选出优秀作品展播，展示我校中职学生的风采，促进我校校园文化的繁荣。</w:t>
      </w:r>
    </w:p>
    <w:p>
      <w:pPr>
        <w:spacing w:line="440" w:lineRule="exact"/>
        <w:rPr>
          <w:rFonts w:asciiTheme="minorEastAsia" w:hAnsiTheme="minorEastAsia" w:eastAsiaTheme="minorEastAsia" w:cstheme="minorEastAsia"/>
        </w:rPr>
      </w:pPr>
      <w:r>
        <w:rPr>
          <w:rFonts w:hint="eastAsia" w:asciiTheme="minorEastAsia" w:hAnsiTheme="minorEastAsia" w:eastAsiaTheme="minorEastAsia" w:cstheme="minorEastAsia"/>
        </w:rPr>
        <w:t>3．学生会建设。学校高度重视学生干部队伍建设。每学期一次召开学生代表大会，选举产生新一届学生会委员会；不断提升学生干部的综合素质和能力，充分发挥学生会在学生工作中的自管自律作用。</w:t>
      </w:r>
    </w:p>
    <w:p>
      <w:pPr>
        <w:pStyle w:val="3"/>
        <w:spacing w:line="440" w:lineRule="exact"/>
        <w:rPr>
          <w:rFonts w:ascii="黑体" w:hAnsi="黑体" w:cs="黑体"/>
        </w:rPr>
      </w:pPr>
      <w:bookmarkStart w:id="35" w:name="_Toc14792"/>
      <w:r>
        <w:rPr>
          <w:rFonts w:hint="eastAsia" w:ascii="黑体" w:hAnsi="黑体" w:cs="黑体"/>
        </w:rPr>
        <w:t>3.6党建情况</w:t>
      </w:r>
      <w:bookmarkEnd w:id="35"/>
    </w:p>
    <w:p>
      <w:pPr>
        <w:spacing w:line="440" w:lineRule="exact"/>
        <w:ind w:firstLine="480" w:firstLineChars="200"/>
      </w:pPr>
      <w:r>
        <w:rPr>
          <w:rFonts w:hint="eastAsia"/>
        </w:rPr>
        <w:t>我校制定了《党建工作责任制实施方案》，实行集体领导与个人分工负责相结合，做到一级抓一级，层层抓落实。现学校教职工党员数为1</w:t>
      </w:r>
      <w:r>
        <w:rPr>
          <w:rFonts w:hint="eastAsia"/>
          <w:lang w:val="en-US" w:eastAsia="zh-CN"/>
        </w:rPr>
        <w:t>2</w:t>
      </w:r>
      <w:r>
        <w:rPr>
          <w:rFonts w:hint="eastAsia"/>
        </w:rPr>
        <w:t>人，学生党员数为0人，团员数为</w:t>
      </w:r>
      <w:r>
        <w:rPr>
          <w:rFonts w:hint="eastAsia"/>
          <w:lang w:val="en-US" w:eastAsia="zh-CN"/>
        </w:rPr>
        <w:t>19</w:t>
      </w:r>
      <w:bookmarkStart w:id="71" w:name="_GoBack"/>
      <w:bookmarkEnd w:id="71"/>
      <w:r>
        <w:rPr>
          <w:rFonts w:hint="eastAsia"/>
        </w:rPr>
        <w:t>人。学校实行党书记负责指导所在支部和分管部门的党建工作，形成了一把手负总责、分管领导具体负责、党的各级组织抓落实的工作格局。在支部调整过程中，让既懂业务、又精通党务，既会管理，又善做思想政治工作的人担任支部书记，为做好支部党建工作提供了组织保障。在日常学习安排中，教职工学习侧重于宣传党和国家的大政方针，学习时事政治，党员队伍学习以“两学一做”学习教育为重点，主要解决理想信念，党性原则，怎样做合格党员问题。我们还会利用周例会时间，每周安排一次学习活动、方式方法侧重于理论与工作实际相结合，做到了思想政治工作与学校中心工作有机结合。</w:t>
      </w:r>
    </w:p>
    <w:p>
      <w:pPr>
        <w:spacing w:line="440" w:lineRule="exact"/>
        <w:ind w:firstLine="480" w:firstLineChars="200"/>
      </w:pPr>
    </w:p>
    <w:p>
      <w:pPr>
        <w:pStyle w:val="2"/>
        <w:spacing w:line="440" w:lineRule="exact"/>
        <w:rPr>
          <w:rFonts w:ascii="黑体" w:hAnsi="黑体" w:cs="黑体"/>
        </w:rPr>
      </w:pPr>
      <w:bookmarkStart w:id="36" w:name="_Toc26601"/>
      <w:r>
        <w:rPr>
          <w:rFonts w:hint="eastAsia" w:ascii="黑体" w:hAnsi="黑体" w:cs="黑体"/>
        </w:rPr>
        <w:t>4.校企合作</w:t>
      </w:r>
      <w:bookmarkEnd w:id="36"/>
    </w:p>
    <w:p>
      <w:pPr>
        <w:pStyle w:val="3"/>
        <w:spacing w:line="440" w:lineRule="exact"/>
        <w:rPr>
          <w:rFonts w:ascii="黑体" w:hAnsi="黑体" w:cs="黑体"/>
        </w:rPr>
      </w:pPr>
      <w:bookmarkStart w:id="37" w:name="_Toc5383"/>
      <w:r>
        <w:rPr>
          <w:rFonts w:hint="eastAsia" w:ascii="黑体" w:hAnsi="黑体" w:cs="黑体"/>
        </w:rPr>
        <w:t>4.1校企合作开展情况和效果</w:t>
      </w:r>
      <w:bookmarkEnd w:id="37"/>
    </w:p>
    <w:p>
      <w:pPr>
        <w:spacing w:line="440" w:lineRule="exact"/>
        <w:ind w:firstLine="480" w:firstLineChars="200"/>
      </w:pPr>
      <w:r>
        <w:rPr>
          <w:rFonts w:hint="eastAsia"/>
        </w:rPr>
        <w:t>校企合作办学是职业教育发展的必由之路，我校在加大校内外实训基地建设的前提下，本年度对合作办学企业重新进行了梳理，由就业部专门负责管理，目前校企合作工作稳步有序。通过与企业的合作，我们实现了学校、企业、学生“三赢”。现校企人才培养涉及二、三年级全体学员，产学合作、课程开发每年涉及三大专业一到两个课题，毕业生录用率为85%以上。</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图表4.1 201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学校毕业生实习情况表</w:t>
      </w:r>
    </w:p>
    <w:tbl>
      <w:tblPr>
        <w:tblStyle w:val="14"/>
        <w:tblW w:w="8851"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805"/>
        <w:gridCol w:w="960"/>
        <w:gridCol w:w="825"/>
        <w:gridCol w:w="1410"/>
        <w:gridCol w:w="915"/>
        <w:gridCol w:w="1125"/>
        <w:gridCol w:w="75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965" w:type="dxa"/>
            <w:vMerge w:val="restart"/>
          </w:tcPr>
          <w:p>
            <w:pPr>
              <w:snapToGrid w:val="0"/>
              <w:spacing w:line="440" w:lineRule="exact"/>
              <w:jc w:val="center"/>
              <w:rPr>
                <w:rFonts w:asciiTheme="minorEastAsia" w:hAnsiTheme="minorEastAsia" w:eastAsiaTheme="minorEastAsia" w:cstheme="minorEastAsia"/>
                <w:sz w:val="21"/>
                <w:szCs w:val="21"/>
              </w:rPr>
            </w:pPr>
          </w:p>
          <w:p>
            <w:pPr>
              <w:snapToGrid w:val="0"/>
              <w:spacing w:line="440" w:lineRule="exact"/>
              <w:jc w:val="center"/>
              <w:rPr>
                <w:rFonts w:asciiTheme="minorEastAsia" w:hAnsiTheme="minorEastAsia" w:eastAsiaTheme="minorEastAsia" w:cstheme="minorEastAsia"/>
                <w:sz w:val="21"/>
                <w:szCs w:val="21"/>
              </w:rPr>
            </w:pPr>
          </w:p>
          <w:p>
            <w:pPr>
              <w:snapToGrid w:val="0"/>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tc>
        <w:tc>
          <w:tcPr>
            <w:tcW w:w="1765" w:type="dxa"/>
            <w:gridSpan w:val="2"/>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企业订单学生</w:t>
            </w:r>
          </w:p>
        </w:tc>
        <w:tc>
          <w:tcPr>
            <w:tcW w:w="2235" w:type="dxa"/>
            <w:gridSpan w:val="2"/>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校企合作教师实践</w:t>
            </w:r>
          </w:p>
        </w:tc>
        <w:tc>
          <w:tcPr>
            <w:tcW w:w="2040" w:type="dxa"/>
            <w:gridSpan w:val="2"/>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学生顶岗实习</w:t>
            </w:r>
          </w:p>
        </w:tc>
        <w:tc>
          <w:tcPr>
            <w:tcW w:w="1846" w:type="dxa"/>
            <w:gridSpan w:val="2"/>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965" w:type="dxa"/>
            <w:vMerge w:val="continue"/>
          </w:tcPr>
          <w:p>
            <w:pPr>
              <w:spacing w:line="440" w:lineRule="exact"/>
              <w:jc w:val="center"/>
              <w:rPr>
                <w:rFonts w:asciiTheme="minorEastAsia" w:hAnsiTheme="minorEastAsia" w:eastAsiaTheme="minorEastAsia" w:cstheme="minorEastAsia"/>
                <w:sz w:val="21"/>
                <w:szCs w:val="21"/>
              </w:rPr>
            </w:pPr>
          </w:p>
        </w:tc>
        <w:tc>
          <w:tcPr>
            <w:tcW w:w="80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总数</w:t>
            </w:r>
          </w:p>
        </w:tc>
        <w:tc>
          <w:tcPr>
            <w:tcW w:w="96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占比</w:t>
            </w:r>
          </w:p>
        </w:tc>
        <w:tc>
          <w:tcPr>
            <w:tcW w:w="82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人数</w:t>
            </w:r>
          </w:p>
        </w:tc>
        <w:tc>
          <w:tcPr>
            <w:tcW w:w="141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总时长</w:t>
            </w:r>
          </w:p>
        </w:tc>
        <w:tc>
          <w:tcPr>
            <w:tcW w:w="91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人数</w:t>
            </w:r>
          </w:p>
        </w:tc>
        <w:tc>
          <w:tcPr>
            <w:tcW w:w="1125"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总课时</w:t>
            </w:r>
          </w:p>
        </w:tc>
        <w:tc>
          <w:tcPr>
            <w:tcW w:w="750"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人数</w:t>
            </w:r>
          </w:p>
        </w:tc>
        <w:tc>
          <w:tcPr>
            <w:tcW w:w="1096"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总课时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96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p>
        </w:tc>
        <w:tc>
          <w:tcPr>
            <w:tcW w:w="805" w:type="dxa"/>
            <w:vAlign w:val="top"/>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w:t>
            </w:r>
          </w:p>
        </w:tc>
        <w:tc>
          <w:tcPr>
            <w:tcW w:w="960"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w:t>
            </w:r>
          </w:p>
        </w:tc>
        <w:tc>
          <w:tcPr>
            <w:tcW w:w="825" w:type="dxa"/>
            <w:vAlign w:val="top"/>
          </w:tcPr>
          <w:p>
            <w:pPr>
              <w:spacing w:line="440" w:lineRule="exact"/>
              <w:jc w:val="center"/>
              <w:rPr>
                <w:rFonts w:asciiTheme="minorEastAsia" w:hAnsiTheme="minorEastAsia" w:eastAsiaTheme="minorEastAsia" w:cstheme="minorEastAsia"/>
                <w:sz w:val="21"/>
                <w:szCs w:val="21"/>
              </w:rPr>
            </w:pPr>
          </w:p>
        </w:tc>
        <w:tc>
          <w:tcPr>
            <w:tcW w:w="1410" w:type="dxa"/>
            <w:vAlign w:val="top"/>
          </w:tcPr>
          <w:p>
            <w:pPr>
              <w:spacing w:line="440" w:lineRule="exact"/>
              <w:jc w:val="center"/>
              <w:rPr>
                <w:rFonts w:asciiTheme="minorEastAsia" w:hAnsiTheme="minorEastAsia" w:eastAsiaTheme="minorEastAsia" w:cstheme="minorEastAsia"/>
                <w:sz w:val="21"/>
                <w:szCs w:val="21"/>
              </w:rPr>
            </w:pPr>
          </w:p>
        </w:tc>
        <w:tc>
          <w:tcPr>
            <w:tcW w:w="91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36</w:t>
            </w:r>
          </w:p>
        </w:tc>
        <w:tc>
          <w:tcPr>
            <w:tcW w:w="1125"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1000</w:t>
            </w:r>
          </w:p>
        </w:tc>
        <w:tc>
          <w:tcPr>
            <w:tcW w:w="750"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096"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96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2019</w:t>
            </w:r>
          </w:p>
        </w:tc>
        <w:tc>
          <w:tcPr>
            <w:tcW w:w="80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w:t>
            </w:r>
          </w:p>
        </w:tc>
        <w:tc>
          <w:tcPr>
            <w:tcW w:w="960"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w:t>
            </w:r>
          </w:p>
        </w:tc>
        <w:tc>
          <w:tcPr>
            <w:tcW w:w="825" w:type="dxa"/>
          </w:tcPr>
          <w:p>
            <w:pPr>
              <w:spacing w:line="440" w:lineRule="exact"/>
              <w:jc w:val="center"/>
              <w:rPr>
                <w:rFonts w:asciiTheme="minorEastAsia" w:hAnsiTheme="minorEastAsia" w:eastAsiaTheme="minorEastAsia" w:cstheme="minorEastAsia"/>
                <w:sz w:val="21"/>
                <w:szCs w:val="21"/>
              </w:rPr>
            </w:pPr>
          </w:p>
        </w:tc>
        <w:tc>
          <w:tcPr>
            <w:tcW w:w="1410" w:type="dxa"/>
          </w:tcPr>
          <w:p>
            <w:pPr>
              <w:spacing w:line="440" w:lineRule="exact"/>
              <w:jc w:val="center"/>
              <w:rPr>
                <w:rFonts w:asciiTheme="minorEastAsia" w:hAnsiTheme="minorEastAsia" w:eastAsiaTheme="minorEastAsia" w:cstheme="minorEastAsia"/>
                <w:sz w:val="21"/>
                <w:szCs w:val="21"/>
              </w:rPr>
            </w:pPr>
          </w:p>
        </w:tc>
        <w:tc>
          <w:tcPr>
            <w:tcW w:w="91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w:t>
            </w:r>
          </w:p>
        </w:tc>
        <w:tc>
          <w:tcPr>
            <w:tcW w:w="1125"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w:t>
            </w:r>
          </w:p>
        </w:tc>
        <w:tc>
          <w:tcPr>
            <w:tcW w:w="750"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1096"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300</w:t>
            </w:r>
          </w:p>
        </w:tc>
      </w:tr>
    </w:tbl>
    <w:p>
      <w:pPr>
        <w:spacing w:line="440" w:lineRule="exact"/>
        <w:ind w:firstLine="480" w:firstLineChars="200"/>
      </w:pPr>
    </w:p>
    <w:p>
      <w:pPr>
        <w:pStyle w:val="3"/>
        <w:spacing w:line="440" w:lineRule="exact"/>
        <w:rPr>
          <w:rFonts w:ascii="黑体" w:hAnsi="黑体" w:cs="黑体"/>
        </w:rPr>
      </w:pPr>
      <w:bookmarkStart w:id="38" w:name="_Toc7007"/>
      <w:r>
        <w:rPr>
          <w:rFonts w:hint="eastAsia" w:ascii="黑体" w:hAnsi="黑体" w:cs="黑体"/>
        </w:rPr>
        <w:t>4.2学生实习情况</w:t>
      </w:r>
      <w:bookmarkEnd w:id="38"/>
    </w:p>
    <w:p>
      <w:pPr>
        <w:spacing w:line="440" w:lineRule="exact"/>
        <w:ind w:firstLine="480" w:firstLineChars="200"/>
      </w:pPr>
      <w:r>
        <w:rPr>
          <w:rFonts w:hint="eastAsia"/>
        </w:rPr>
        <w:t>为进一步加强学生顶岗实习的规范管理，学校制定了《就业实习管理制度》和《就业实习管理办法》，由学校、学生本人、就业单位签订《实习协议》，责权明确。为了加强管理，我们还建立了由班主任参与的实习生顶岗跟踪服务体系，并及时总结，将跟踪巡访体会反馈给学校和学生，提高了顶岗实习质量，学生赢得了较好的经济效益，学校也赢得了良好的社会效益。</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图表4.2 校企合作学生实习数据统计表</w:t>
      </w:r>
    </w:p>
    <w:tbl>
      <w:tblPr>
        <w:tblStyle w:val="14"/>
        <w:tblW w:w="8821"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286"/>
        <w:gridCol w:w="1286"/>
        <w:gridCol w:w="1286"/>
        <w:gridCol w:w="1286"/>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3"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年度</w:t>
            </w:r>
          </w:p>
        </w:tc>
        <w:tc>
          <w:tcPr>
            <w:tcW w:w="1286"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实习人数</w:t>
            </w:r>
          </w:p>
        </w:tc>
        <w:tc>
          <w:tcPr>
            <w:tcW w:w="1286"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实训工位数</w:t>
            </w:r>
          </w:p>
        </w:tc>
        <w:tc>
          <w:tcPr>
            <w:tcW w:w="1286"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岗位对口率</w:t>
            </w:r>
          </w:p>
        </w:tc>
        <w:tc>
          <w:tcPr>
            <w:tcW w:w="1286"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保险购买率</w:t>
            </w:r>
          </w:p>
        </w:tc>
        <w:tc>
          <w:tcPr>
            <w:tcW w:w="1287"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企业录用率</w:t>
            </w:r>
          </w:p>
        </w:tc>
        <w:tc>
          <w:tcPr>
            <w:tcW w:w="1287" w:type="dxa"/>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质量满意度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3"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p>
        </w:tc>
        <w:tc>
          <w:tcPr>
            <w:tcW w:w="1286"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36</w:t>
            </w:r>
          </w:p>
        </w:tc>
        <w:tc>
          <w:tcPr>
            <w:tcW w:w="1286"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41</w:t>
            </w:r>
          </w:p>
        </w:tc>
        <w:tc>
          <w:tcPr>
            <w:tcW w:w="1286"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286"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287"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87%</w:t>
            </w:r>
          </w:p>
        </w:tc>
        <w:tc>
          <w:tcPr>
            <w:tcW w:w="1287"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3"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2018</w:t>
            </w:r>
          </w:p>
        </w:tc>
        <w:tc>
          <w:tcPr>
            <w:tcW w:w="1286"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w:t>
            </w:r>
          </w:p>
        </w:tc>
        <w:tc>
          <w:tcPr>
            <w:tcW w:w="1286" w:type="dxa"/>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w:t>
            </w:r>
          </w:p>
        </w:tc>
        <w:tc>
          <w:tcPr>
            <w:tcW w:w="1286" w:type="dxa"/>
            <w:vAlign w:val="top"/>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w:t>
            </w:r>
          </w:p>
        </w:tc>
        <w:tc>
          <w:tcPr>
            <w:tcW w:w="1286"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287" w:type="dxa"/>
            <w:vAlign w:val="top"/>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w:t>
            </w:r>
          </w:p>
        </w:tc>
        <w:tc>
          <w:tcPr>
            <w:tcW w:w="1287" w:type="dxa"/>
            <w:vAlign w:val="top"/>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98%</w:t>
            </w:r>
          </w:p>
        </w:tc>
      </w:tr>
    </w:tbl>
    <w:p>
      <w:pPr>
        <w:spacing w:line="440" w:lineRule="exact"/>
        <w:ind w:firstLine="420" w:firstLineChars="200"/>
        <w:jc w:val="center"/>
        <w:rPr>
          <w:rFonts w:asciiTheme="minorEastAsia" w:hAnsiTheme="minorEastAsia" w:eastAsiaTheme="minorEastAsia" w:cstheme="minorEastAsia"/>
          <w:sz w:val="21"/>
          <w:szCs w:val="21"/>
        </w:rPr>
      </w:pPr>
    </w:p>
    <w:p>
      <w:pPr>
        <w:pStyle w:val="3"/>
        <w:spacing w:line="440" w:lineRule="exact"/>
        <w:rPr>
          <w:rFonts w:ascii="黑体" w:hAnsi="黑体" w:cs="黑体"/>
        </w:rPr>
      </w:pPr>
      <w:bookmarkStart w:id="39" w:name="_Toc689"/>
      <w:r>
        <w:rPr>
          <w:rFonts w:hint="eastAsia" w:ascii="黑体" w:hAnsi="黑体" w:cs="黑体"/>
        </w:rPr>
        <w:t>4.3集团化办学情况</w:t>
      </w:r>
      <w:bookmarkEnd w:id="39"/>
    </w:p>
    <w:p>
      <w:pPr>
        <w:spacing w:line="440" w:lineRule="exact"/>
      </w:pPr>
      <w:r>
        <w:t xml:space="preserve"> </w:t>
      </w:r>
      <w:r>
        <w:rPr>
          <w:rFonts w:hint="eastAsia"/>
        </w:rPr>
        <w:t xml:space="preserve">   我校领导班子积极筹划学校的集团化办学发展方向、思路、理念，考察借鉴适合本学校发展的集团化办学模式，使学校毕业生走上面向社会、面向企业的新型发展模式。现集团化办学促进专业人才培养质量提升8</w:t>
      </w:r>
      <w:r>
        <w:rPr>
          <w:rFonts w:hint="eastAsia"/>
          <w:lang w:val="en-US" w:eastAsia="zh-CN"/>
        </w:rPr>
        <w:t>7</w:t>
      </w:r>
      <w:r>
        <w:rPr>
          <w:rFonts w:hint="eastAsia"/>
        </w:rPr>
        <w:t>%以上，促进学生就业率提升100%，促进对口就业率提升100%。</w:t>
      </w:r>
    </w:p>
    <w:p>
      <w:pPr>
        <w:pStyle w:val="2"/>
        <w:spacing w:line="440" w:lineRule="exact"/>
        <w:rPr>
          <w:rFonts w:ascii="黑体" w:hAnsi="黑体" w:cs="黑体"/>
        </w:rPr>
      </w:pPr>
      <w:bookmarkStart w:id="40" w:name="_Toc24801"/>
      <w:bookmarkStart w:id="41" w:name="_Toc13148"/>
      <w:bookmarkStart w:id="42" w:name="_Toc27397"/>
      <w:r>
        <w:rPr>
          <w:rFonts w:hint="eastAsia" w:ascii="黑体" w:hAnsi="黑体" w:cs="黑体"/>
        </w:rPr>
        <w:t>5.社会贡献</w:t>
      </w:r>
      <w:bookmarkEnd w:id="40"/>
      <w:bookmarkEnd w:id="41"/>
      <w:bookmarkEnd w:id="42"/>
    </w:p>
    <w:p>
      <w:pPr>
        <w:pStyle w:val="3"/>
        <w:spacing w:line="440" w:lineRule="exact"/>
        <w:rPr>
          <w:rFonts w:ascii="黑体" w:hAnsi="黑体" w:cs="黑体"/>
        </w:rPr>
      </w:pPr>
      <w:bookmarkStart w:id="43" w:name="_Toc26346"/>
      <w:bookmarkStart w:id="44" w:name="_Toc17872"/>
      <w:bookmarkStart w:id="45" w:name="_Toc11364"/>
      <w:r>
        <w:rPr>
          <w:rFonts w:hint="eastAsia" w:ascii="黑体" w:hAnsi="黑体" w:cs="黑体"/>
        </w:rPr>
        <w:t>5.1人才培养</w:t>
      </w:r>
      <w:bookmarkEnd w:id="43"/>
      <w:bookmarkEnd w:id="44"/>
      <w:bookmarkEnd w:id="45"/>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在人才培养方面，我校施行专业设置与市场需求对接，教学过程与服务过程对接，毕业证书与职业资格证书对接，职业教育与终身学习对接的职业教育人才培养模式。学校对各类课程均按照“职业性、实践性、开放性”的要求，制订科学规范的人才培养方案，并将相关职业资格标准充分融入专业课程体系中，实现教学过程与服务过程对接，全面推进课程建设与改革。</w:t>
      </w:r>
    </w:p>
    <w:p>
      <w:pPr>
        <w:numPr>
          <w:ilvl w:val="0"/>
          <w:numId w:val="0"/>
        </w:numPr>
        <w:spacing w:line="440" w:lineRule="exact"/>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2019</w:t>
      </w:r>
      <w:r>
        <w:rPr>
          <w:rFonts w:hint="eastAsia" w:asciiTheme="minorEastAsia" w:hAnsiTheme="minorEastAsia" w:eastAsiaTheme="minorEastAsia" w:cstheme="minorEastAsia"/>
        </w:rPr>
        <w:t>年学校为社会培养各类技术技能人才</w:t>
      </w:r>
      <w:r>
        <w:rPr>
          <w:rFonts w:hint="eastAsia" w:asciiTheme="minorEastAsia" w:hAnsiTheme="minorEastAsia" w:eastAsiaTheme="minorEastAsia" w:cstheme="minorEastAsia"/>
          <w:lang w:val="en-US" w:eastAsia="zh-CN"/>
        </w:rPr>
        <w:t>41</w:t>
      </w:r>
      <w:r>
        <w:rPr>
          <w:rFonts w:hint="eastAsia" w:asciiTheme="minorEastAsia" w:hAnsiTheme="minorEastAsia" w:eastAsiaTheme="minorEastAsia" w:cstheme="minorEastAsia"/>
        </w:rPr>
        <w:t>人，用人单位满意度达98%以上，</w:t>
      </w:r>
      <w:r>
        <w:rPr>
          <w:rFonts w:hint="eastAsia" w:asciiTheme="minorEastAsia" w:hAnsiTheme="minorEastAsia" w:eastAsiaTheme="minorEastAsia" w:cstheme="minorEastAsia"/>
          <w:lang w:eastAsia="zh-CN"/>
        </w:rPr>
        <w:t>与</w:t>
      </w:r>
      <w:r>
        <w:rPr>
          <w:rFonts w:hint="eastAsia" w:asciiTheme="minorEastAsia" w:hAnsiTheme="minorEastAsia" w:eastAsiaTheme="minorEastAsia" w:cstheme="minorEastAsia"/>
        </w:rPr>
        <w:t>上一年度</w:t>
      </w:r>
      <w:r>
        <w:rPr>
          <w:rFonts w:hint="eastAsia" w:asciiTheme="minorEastAsia" w:hAnsiTheme="minorEastAsia" w:eastAsiaTheme="minorEastAsia" w:cstheme="minorEastAsia"/>
          <w:lang w:eastAsia="zh-CN"/>
        </w:rPr>
        <w:t>持平</w:t>
      </w:r>
      <w:r>
        <w:rPr>
          <w:rFonts w:hint="eastAsia" w:asciiTheme="minorEastAsia" w:hAnsiTheme="minorEastAsia" w:eastAsiaTheme="minorEastAsia" w:cstheme="minorEastAsia"/>
        </w:rPr>
        <w:t>。</w:t>
      </w:r>
    </w:p>
    <w:p>
      <w:pPr>
        <w:adjustRightInd w:val="0"/>
        <w:spacing w:line="440" w:lineRule="exact"/>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kern w:val="0"/>
          <w:sz w:val="21"/>
          <w:szCs w:val="21"/>
        </w:rPr>
        <w:t>表5.1 201</w:t>
      </w:r>
      <w:r>
        <w:rPr>
          <w:rFonts w:hint="eastAsia" w:asciiTheme="minorEastAsia" w:hAnsiTheme="minorEastAsia" w:eastAsiaTheme="minorEastAsia" w:cstheme="minorEastAsia"/>
          <w:b/>
          <w:bCs/>
          <w:kern w:val="0"/>
          <w:sz w:val="21"/>
          <w:szCs w:val="21"/>
          <w:lang w:val="en-US" w:eastAsia="zh-CN"/>
        </w:rPr>
        <w:t>8</w:t>
      </w:r>
      <w:r>
        <w:rPr>
          <w:rFonts w:hint="eastAsia" w:asciiTheme="minorEastAsia" w:hAnsiTheme="minorEastAsia" w:eastAsiaTheme="minorEastAsia" w:cstheme="minorEastAsia"/>
          <w:b/>
          <w:bCs/>
          <w:kern w:val="0"/>
          <w:sz w:val="21"/>
          <w:szCs w:val="21"/>
        </w:rPr>
        <w:t>-201</w:t>
      </w:r>
      <w:r>
        <w:rPr>
          <w:rFonts w:hint="eastAsia" w:asciiTheme="minorEastAsia" w:hAnsiTheme="minorEastAsia" w:eastAsiaTheme="minorEastAsia" w:cstheme="minorEastAsia"/>
          <w:b/>
          <w:bCs/>
          <w:kern w:val="0"/>
          <w:sz w:val="21"/>
          <w:szCs w:val="21"/>
          <w:lang w:val="en-US" w:eastAsia="zh-CN"/>
        </w:rPr>
        <w:t>9</w:t>
      </w:r>
      <w:r>
        <w:rPr>
          <w:rFonts w:hint="eastAsia" w:asciiTheme="minorEastAsia" w:hAnsiTheme="minorEastAsia" w:eastAsiaTheme="minorEastAsia" w:cstheme="minorEastAsia"/>
          <w:b/>
          <w:bCs/>
          <w:kern w:val="0"/>
          <w:sz w:val="21"/>
          <w:szCs w:val="21"/>
        </w:rPr>
        <w:t>年中等职业学校区域经济社会发展对人才需求满足度统计表</w:t>
      </w:r>
    </w:p>
    <w:tbl>
      <w:tblPr>
        <w:tblStyle w:val="13"/>
        <w:tblW w:w="8805" w:type="dxa"/>
        <w:tblInd w:w="94" w:type="dxa"/>
        <w:tblLayout w:type="fixed"/>
        <w:tblCellMar>
          <w:top w:w="0" w:type="dxa"/>
          <w:left w:w="108" w:type="dxa"/>
          <w:bottom w:w="0" w:type="dxa"/>
          <w:right w:w="108" w:type="dxa"/>
        </w:tblCellMar>
      </w:tblPr>
      <w:tblGrid>
        <w:gridCol w:w="2970"/>
        <w:gridCol w:w="765"/>
        <w:gridCol w:w="1080"/>
        <w:gridCol w:w="1485"/>
        <w:gridCol w:w="2505"/>
      </w:tblGrid>
      <w:tr>
        <w:tblPrEx>
          <w:tblLayout w:type="fixed"/>
          <w:tblCellMar>
            <w:top w:w="0" w:type="dxa"/>
            <w:left w:w="108" w:type="dxa"/>
            <w:bottom w:w="0" w:type="dxa"/>
            <w:right w:w="108" w:type="dxa"/>
          </w:tblCellMar>
        </w:tblPrEx>
        <w:trPr>
          <w:trHeight w:val="446"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bookmarkStart w:id="46" w:name="page31"/>
            <w:bookmarkEnd w:id="46"/>
            <w:bookmarkStart w:id="47" w:name="_Toc4958"/>
            <w:bookmarkStart w:id="48" w:name="_Toc28920"/>
            <w:r>
              <w:rPr>
                <w:rFonts w:hint="eastAsia" w:asciiTheme="minorEastAsia" w:hAnsiTheme="minorEastAsia" w:eastAsiaTheme="minorEastAsia" w:cstheme="minorEastAsia"/>
                <w:sz w:val="21"/>
                <w:szCs w:val="21"/>
              </w:rPr>
              <w:t>指标</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年</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年</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用文字说明变化情况</w:t>
            </w:r>
          </w:p>
        </w:tc>
      </w:tr>
      <w:tr>
        <w:tblPrEx>
          <w:tblLayout w:type="fixed"/>
          <w:tblCellMar>
            <w:top w:w="0" w:type="dxa"/>
            <w:left w:w="108" w:type="dxa"/>
            <w:bottom w:w="0" w:type="dxa"/>
            <w:right w:w="108" w:type="dxa"/>
          </w:tblCellMar>
        </w:tblPrEx>
        <w:trPr>
          <w:trHeight w:val="491"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就业率</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就业率无变化</w:t>
            </w:r>
          </w:p>
        </w:tc>
      </w:tr>
      <w:tr>
        <w:tblPrEx>
          <w:tblLayout w:type="fixed"/>
          <w:tblCellMar>
            <w:top w:w="0" w:type="dxa"/>
            <w:left w:w="108" w:type="dxa"/>
            <w:bottom w:w="0" w:type="dxa"/>
            <w:right w:w="108" w:type="dxa"/>
          </w:tblCellMar>
        </w:tblPrEx>
        <w:trPr>
          <w:trHeight w:val="461"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平均月收入</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元</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1900</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2400</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月平均收入</w:t>
            </w:r>
            <w:r>
              <w:rPr>
                <w:rFonts w:hint="eastAsia" w:asciiTheme="minorEastAsia" w:hAnsiTheme="minorEastAsia" w:eastAsiaTheme="minorEastAsia" w:cstheme="minorEastAsia"/>
                <w:sz w:val="21"/>
                <w:szCs w:val="21"/>
                <w:lang w:eastAsia="zh-CN"/>
              </w:rPr>
              <w:t>增加</w:t>
            </w:r>
            <w:r>
              <w:rPr>
                <w:rFonts w:hint="eastAsia" w:asciiTheme="minorEastAsia" w:hAnsiTheme="minorEastAsia" w:eastAsiaTheme="minorEastAsia" w:cstheme="minorEastAsia"/>
                <w:sz w:val="21"/>
                <w:szCs w:val="21"/>
                <w:lang w:val="en-US" w:eastAsia="zh-CN"/>
              </w:rPr>
              <w:t>500</w:t>
            </w:r>
            <w:r>
              <w:rPr>
                <w:rFonts w:hint="eastAsia" w:asciiTheme="minorEastAsia" w:hAnsiTheme="minorEastAsia" w:eastAsiaTheme="minorEastAsia" w:cstheme="minorEastAsia"/>
                <w:sz w:val="21"/>
                <w:szCs w:val="21"/>
              </w:rPr>
              <w:t>元</w:t>
            </w:r>
          </w:p>
          <w:p>
            <w:pPr>
              <w:spacing w:line="440" w:lineRule="exact"/>
              <w:jc w:val="center"/>
              <w:rPr>
                <w:rFonts w:asciiTheme="minorEastAsia" w:hAnsiTheme="minorEastAsia" w:eastAsiaTheme="minorEastAsia" w:cstheme="minorEastAsia"/>
                <w:sz w:val="21"/>
                <w:szCs w:val="21"/>
              </w:rPr>
            </w:pPr>
          </w:p>
        </w:tc>
      </w:tr>
      <w:tr>
        <w:tblPrEx>
          <w:tblLayout w:type="fixed"/>
          <w:tblCellMar>
            <w:top w:w="0" w:type="dxa"/>
            <w:left w:w="108" w:type="dxa"/>
            <w:bottom w:w="0" w:type="dxa"/>
            <w:right w:w="108" w:type="dxa"/>
          </w:tblCellMar>
        </w:tblPrEx>
        <w:trPr>
          <w:trHeight w:val="496"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母校满意度</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rPr>
              <w:t>%</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母校满意度增加2%</w:t>
            </w:r>
          </w:p>
        </w:tc>
      </w:tr>
      <w:tr>
        <w:tblPrEx>
          <w:tblLayout w:type="fixed"/>
          <w:tblCellMar>
            <w:top w:w="0" w:type="dxa"/>
            <w:left w:w="108" w:type="dxa"/>
            <w:bottom w:w="0" w:type="dxa"/>
            <w:right w:w="108" w:type="dxa"/>
          </w:tblCellMar>
        </w:tblPrEx>
        <w:trPr>
          <w:trHeight w:val="451"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自主创业比例</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自主创业无变化</w:t>
            </w:r>
          </w:p>
        </w:tc>
      </w:tr>
      <w:tr>
        <w:tblPrEx>
          <w:tblLayout w:type="fixed"/>
          <w:tblCellMar>
            <w:top w:w="0" w:type="dxa"/>
            <w:left w:w="108" w:type="dxa"/>
            <w:bottom w:w="0" w:type="dxa"/>
            <w:right w:w="108" w:type="dxa"/>
          </w:tblCellMar>
        </w:tblPrEx>
        <w:trPr>
          <w:trHeight w:val="511"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雇主满意度</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98%</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雇主满意度</w:t>
            </w:r>
            <w:r>
              <w:rPr>
                <w:rFonts w:hint="eastAsia" w:asciiTheme="minorEastAsia" w:hAnsiTheme="minorEastAsia" w:eastAsiaTheme="minorEastAsia" w:cstheme="minorEastAsia"/>
                <w:sz w:val="21"/>
                <w:szCs w:val="21"/>
                <w:lang w:eastAsia="zh-CN"/>
              </w:rPr>
              <w:t>持平</w:t>
            </w:r>
          </w:p>
        </w:tc>
      </w:tr>
      <w:tr>
        <w:tblPrEx>
          <w:tblLayout w:type="fixed"/>
          <w:tblCellMar>
            <w:top w:w="0" w:type="dxa"/>
            <w:left w:w="108" w:type="dxa"/>
            <w:bottom w:w="0" w:type="dxa"/>
            <w:right w:w="108" w:type="dxa"/>
          </w:tblCellMar>
        </w:tblPrEx>
        <w:trPr>
          <w:trHeight w:val="521" w:hRule="exact"/>
        </w:trPr>
        <w:tc>
          <w:tcPr>
            <w:tcW w:w="297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毕业生升学比例</w:t>
            </w:r>
          </w:p>
        </w:tc>
        <w:tc>
          <w:tcPr>
            <w:tcW w:w="76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080"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1485" w:type="dxa"/>
            <w:tcBorders>
              <w:top w:val="single" w:color="000000" w:sz="4" w:space="0"/>
              <w:left w:val="nil"/>
              <w:bottom w:val="single" w:color="000000" w:sz="4" w:space="0"/>
              <w:right w:val="single" w:color="auto"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p>
        </w:tc>
        <w:tc>
          <w:tcPr>
            <w:tcW w:w="2505" w:type="dxa"/>
            <w:tcBorders>
              <w:top w:val="single" w:color="000000" w:sz="4" w:space="0"/>
              <w:left w:val="nil"/>
              <w:bottom w:val="single" w:color="000000" w:sz="4" w:space="0"/>
              <w:right w:val="single" w:color="000000" w:sz="4" w:space="0"/>
            </w:tcBorders>
            <w:vAlign w:val="center"/>
          </w:tcPr>
          <w:p>
            <w:pPr>
              <w:spacing w:line="44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毕业生升学无变化</w:t>
            </w:r>
          </w:p>
        </w:tc>
      </w:tr>
    </w:tbl>
    <w:p>
      <w:pPr>
        <w:pStyle w:val="3"/>
        <w:spacing w:line="440" w:lineRule="exact"/>
        <w:rPr>
          <w:rFonts w:ascii="黑体" w:hAnsi="黑体" w:cs="黑体"/>
        </w:rPr>
      </w:pPr>
    </w:p>
    <w:p>
      <w:pPr>
        <w:pStyle w:val="3"/>
        <w:spacing w:line="440" w:lineRule="exact"/>
        <w:rPr>
          <w:rFonts w:ascii="黑体" w:hAnsi="黑体" w:cs="黑体"/>
        </w:rPr>
      </w:pPr>
      <w:bookmarkStart w:id="49" w:name="_Toc9061"/>
      <w:r>
        <w:rPr>
          <w:rFonts w:hint="eastAsia" w:ascii="黑体" w:hAnsi="黑体" w:cs="黑体"/>
        </w:rPr>
        <w:t>5.2社会服务</w:t>
      </w:r>
      <w:bookmarkEnd w:id="47"/>
      <w:bookmarkEnd w:id="48"/>
      <w:bookmarkEnd w:id="49"/>
    </w:p>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学校坚持“开放办学、服务社会”，为地方经济发展服务，201</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年开展各类社会培训380人次。</w:t>
      </w:r>
    </w:p>
    <w:p>
      <w:pPr>
        <w:spacing w:line="440" w:lineRule="exact"/>
        <w:ind w:firstLine="422" w:firstLineChars="200"/>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图表5.2 201</w:t>
      </w:r>
      <w:r>
        <w:rPr>
          <w:rFonts w:hint="eastAsia" w:asciiTheme="minorEastAsia" w:hAnsiTheme="minorEastAsia" w:eastAsiaTheme="minorEastAsia" w:cstheme="minorEastAsia"/>
          <w:b/>
          <w:bCs/>
          <w:sz w:val="21"/>
          <w:szCs w:val="21"/>
          <w:lang w:val="en-US" w:eastAsia="zh-CN"/>
        </w:rPr>
        <w:t>9</w:t>
      </w:r>
      <w:r>
        <w:rPr>
          <w:rFonts w:hint="eastAsia" w:asciiTheme="minorEastAsia" w:hAnsiTheme="minorEastAsia" w:eastAsiaTheme="minorEastAsia" w:cstheme="minorEastAsia"/>
          <w:b/>
          <w:bCs/>
          <w:sz w:val="21"/>
          <w:szCs w:val="21"/>
        </w:rPr>
        <w:t>各类社会培训情况表</w:t>
      </w:r>
    </w:p>
    <w:tbl>
      <w:tblPr>
        <w:tblStyle w:val="13"/>
        <w:tblW w:w="6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4"/>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3444" w:type="dxa"/>
            <w:vAlign w:val="center"/>
          </w:tcPr>
          <w:p>
            <w:pPr>
              <w:spacing w:line="44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培训项目</w:t>
            </w:r>
          </w:p>
        </w:tc>
        <w:tc>
          <w:tcPr>
            <w:tcW w:w="3360" w:type="dxa"/>
            <w:vAlign w:val="center"/>
          </w:tcPr>
          <w:p>
            <w:pPr>
              <w:spacing w:line="44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3444" w:type="dxa"/>
            <w:vAlign w:val="center"/>
          </w:tcPr>
          <w:p>
            <w:pPr>
              <w:spacing w:line="44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个人形象设计</w:t>
            </w:r>
          </w:p>
        </w:tc>
        <w:tc>
          <w:tcPr>
            <w:tcW w:w="3360" w:type="dxa"/>
            <w:vAlign w:val="center"/>
          </w:tcPr>
          <w:p>
            <w:pPr>
              <w:spacing w:line="4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3444" w:type="dxa"/>
            <w:vAlign w:val="center"/>
          </w:tcPr>
          <w:p>
            <w:pPr>
              <w:spacing w:line="440" w:lineRule="exact"/>
              <w:jc w:val="center"/>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职业妆</w:t>
            </w:r>
          </w:p>
        </w:tc>
        <w:tc>
          <w:tcPr>
            <w:tcW w:w="3360" w:type="dxa"/>
            <w:vAlign w:val="center"/>
          </w:tcPr>
          <w:p>
            <w:pPr>
              <w:spacing w:line="440" w:lineRule="exact"/>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3444" w:type="dxa"/>
            <w:vAlign w:val="center"/>
          </w:tcPr>
          <w:p>
            <w:pPr>
              <w:autoSpaceDE w:val="0"/>
              <w:autoSpaceDN w:val="0"/>
              <w:adjustRightInd w:val="0"/>
              <w:spacing w:line="440" w:lineRule="exact"/>
              <w:jc w:val="center"/>
              <w:rPr>
                <w:rFonts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日常皮肤护理与保养</w:t>
            </w:r>
          </w:p>
        </w:tc>
        <w:tc>
          <w:tcPr>
            <w:tcW w:w="3360" w:type="dxa"/>
            <w:vAlign w:val="center"/>
          </w:tcPr>
          <w:p>
            <w:pPr>
              <w:autoSpaceDE w:val="0"/>
              <w:autoSpaceDN w:val="0"/>
              <w:adjustRightInd w:val="0"/>
              <w:spacing w:line="440" w:lineRule="exact"/>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30</w:t>
            </w:r>
          </w:p>
        </w:tc>
      </w:tr>
    </w:tbl>
    <w:p>
      <w:pPr>
        <w:spacing w:line="440" w:lineRule="exact"/>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我们充分发挥各专业教师的知识、技能优势，积极为地方、区域机关企事业单位进行美容、美发、化妆培训，帮助机关企事业单位提升员工形象与技能。</w:t>
      </w:r>
    </w:p>
    <w:p>
      <w:pPr>
        <w:spacing w:line="440" w:lineRule="exact"/>
        <w:ind w:firstLine="480" w:firstLineChars="200"/>
        <w:rPr>
          <w:rFonts w:asciiTheme="minorEastAsia" w:hAnsiTheme="minorEastAsia" w:eastAsiaTheme="minorEastAsia" w:cstheme="minorEastAsia"/>
          <w:lang w:val="es-PE"/>
        </w:rPr>
      </w:pPr>
      <w:r>
        <w:rPr>
          <w:rFonts w:hint="eastAsia" w:asciiTheme="minorEastAsia" w:hAnsiTheme="minorEastAsia" w:eastAsiaTheme="minorEastAsia" w:cstheme="minorEastAsia"/>
        </w:rPr>
        <w:t>文化传承：我校本着</w:t>
      </w:r>
      <w:r>
        <w:rPr>
          <w:rFonts w:hint="eastAsia" w:asciiTheme="minorEastAsia" w:hAnsiTheme="minorEastAsia" w:eastAsiaTheme="minorEastAsia" w:cstheme="minorEastAsia"/>
          <w:lang w:val="es-PE"/>
        </w:rPr>
        <w:t>全面学习贯彻伟大的人民教育家--陶行知的教育思想，把“千教万教教人成真，千学万学学做真人”、“教学做合一”、“手脑并用，双手万能”等教育理念，有机地融入到了教育教学工作中。</w:t>
      </w:r>
    </w:p>
    <w:p>
      <w:pPr>
        <w:pStyle w:val="2"/>
        <w:spacing w:line="440" w:lineRule="exact"/>
        <w:rPr>
          <w:rFonts w:ascii="黑体" w:hAnsi="黑体" w:cs="黑体"/>
        </w:rPr>
      </w:pPr>
      <w:bookmarkStart w:id="50" w:name="_Toc16303"/>
      <w:bookmarkStart w:id="51" w:name="_Toc3760"/>
      <w:bookmarkStart w:id="52" w:name="_Toc20098"/>
      <w:r>
        <w:rPr>
          <w:rFonts w:hint="eastAsia" w:ascii="黑体" w:hAnsi="黑体" w:cs="黑体"/>
        </w:rPr>
        <w:t>6.举办者履责</w:t>
      </w:r>
      <w:bookmarkEnd w:id="50"/>
      <w:bookmarkEnd w:id="51"/>
      <w:bookmarkEnd w:id="52"/>
    </w:p>
    <w:p>
      <w:pPr>
        <w:pStyle w:val="3"/>
        <w:spacing w:line="440" w:lineRule="exact"/>
        <w:rPr>
          <w:rFonts w:ascii="黑体" w:hAnsi="黑体" w:cs="黑体"/>
        </w:rPr>
      </w:pPr>
      <w:bookmarkStart w:id="53" w:name="_Toc16702"/>
      <w:bookmarkStart w:id="54" w:name="_Toc24694"/>
      <w:bookmarkStart w:id="55" w:name="_Toc14717"/>
      <w:r>
        <w:rPr>
          <w:rFonts w:hint="eastAsia" w:ascii="黑体" w:hAnsi="黑体" w:cs="黑体"/>
        </w:rPr>
        <w:t>6.1经费</w:t>
      </w:r>
      <w:bookmarkEnd w:id="53"/>
      <w:bookmarkEnd w:id="54"/>
      <w:bookmarkEnd w:id="55"/>
    </w:p>
    <w:p>
      <w:pPr>
        <w:spacing w:line="440" w:lineRule="exact"/>
        <w:ind w:firstLine="480" w:firstLineChars="200"/>
        <w:rPr>
          <w:rFonts w:asciiTheme="minorEastAsia" w:hAnsiTheme="minorEastAsia" w:eastAsiaTheme="minorEastAsia" w:cstheme="minorEastAsia"/>
        </w:rPr>
      </w:pPr>
      <w:bookmarkStart w:id="56" w:name="_Toc14502"/>
      <w:r>
        <w:rPr>
          <w:rFonts w:hint="eastAsia" w:asciiTheme="minorEastAsia" w:hAnsiTheme="minorEastAsia" w:eastAsiaTheme="minorEastAsia" w:cstheme="minorEastAsia"/>
        </w:rPr>
        <w:t>我校教育经费均为学校自收自支、自负盈亏，每年度我们都会投入大量资金进行教学楼与宿舍楼维修改造，并按市场需求购买相关教学仪器与婚纱饰品等。同时学校在每月按时足额发给教职工工资的基础上，尽最大努力保证学校正常办学经费的需要。</w:t>
      </w:r>
    </w:p>
    <w:p>
      <w:pPr>
        <w:pStyle w:val="3"/>
        <w:spacing w:line="440" w:lineRule="exact"/>
        <w:rPr>
          <w:rFonts w:ascii="黑体" w:hAnsi="黑体" w:cs="黑体"/>
        </w:rPr>
      </w:pPr>
      <w:bookmarkStart w:id="57" w:name="_Toc7560"/>
      <w:bookmarkStart w:id="58" w:name="_Toc11290"/>
      <w:r>
        <w:rPr>
          <w:rFonts w:hint="eastAsia" w:ascii="黑体" w:hAnsi="黑体" w:cs="黑体"/>
        </w:rPr>
        <w:t>6.2政策措施</w:t>
      </w:r>
      <w:bookmarkEnd w:id="56"/>
      <w:bookmarkEnd w:id="57"/>
      <w:bookmarkEnd w:id="58"/>
    </w:p>
    <w:p>
      <w:pPr>
        <w:spacing w:line="440" w:lineRule="exact"/>
        <w:ind w:firstLine="480" w:firstLineChars="200"/>
      </w:pPr>
      <w:r>
        <w:rPr>
          <w:rFonts w:hint="eastAsia"/>
        </w:rPr>
        <w:t>职业教育是普适性事业，尊重职业教育发展的规律，必须调动相关重要主体的积极性。由于职业教育与经济发展、市场需求及人在职场中履历等联系最直接、最密切，因此职业教育必须把和职业教育相关的利益主体的积极性充分调动起来。</w:t>
      </w:r>
    </w:p>
    <w:p>
      <w:pPr>
        <w:widowControl/>
        <w:spacing w:line="440" w:lineRule="exact"/>
        <w:ind w:firstLine="480" w:firstLineChars="200"/>
        <w:jc w:val="left"/>
      </w:pPr>
      <w:r>
        <w:rPr>
          <w:rFonts w:hint="eastAsia"/>
        </w:rPr>
        <w:t>在用人制度和人事管理权上，大量引进新人特别是有过工作经历的人才是提升教师队伍质量的关键，我校技能教师技术职称很高，但大多学历文凭偏低，因此在 “双师型”教师的培养中困难较多，阻力较大。</w:t>
      </w:r>
      <w:bookmarkStart w:id="59" w:name="_Toc31333"/>
      <w:bookmarkStart w:id="60" w:name="_Toc30071"/>
    </w:p>
    <w:p>
      <w:pPr>
        <w:pStyle w:val="2"/>
        <w:spacing w:line="440" w:lineRule="exact"/>
        <w:rPr>
          <w:rFonts w:ascii="黑体" w:hAnsi="黑体" w:cs="黑体"/>
        </w:rPr>
      </w:pPr>
      <w:bookmarkStart w:id="61" w:name="_Toc1190"/>
      <w:r>
        <w:rPr>
          <w:rFonts w:hint="eastAsia" w:ascii="黑体" w:hAnsi="黑体" w:cs="黑体"/>
        </w:rPr>
        <w:t>7.特色创新</w:t>
      </w:r>
      <w:bookmarkEnd w:id="59"/>
      <w:bookmarkEnd w:id="60"/>
      <w:bookmarkEnd w:id="61"/>
    </w:p>
    <w:p>
      <w:pPr>
        <w:pStyle w:val="3"/>
        <w:spacing w:line="440" w:lineRule="exact"/>
      </w:pPr>
      <w:bookmarkStart w:id="62" w:name="_Toc29843"/>
      <w:bookmarkStart w:id="63" w:name="_Toc20221"/>
      <w:r>
        <w:rPr>
          <w:rFonts w:hint="eastAsia"/>
        </w:rPr>
        <w:t>案例一：开展学生职业生涯教育，促进学生核心素养的提升</w:t>
      </w:r>
      <w:bookmarkEnd w:id="62"/>
      <w:bookmarkEnd w:id="63"/>
    </w:p>
    <w:p>
      <w:pPr>
        <w:spacing w:line="440" w:lineRule="exact"/>
        <w:ind w:firstLine="480" w:firstLineChars="200"/>
      </w:pPr>
      <w:r>
        <w:rPr>
          <w:rFonts w:hint="eastAsia"/>
        </w:rPr>
        <w:t>针对目前中职生普遍存在的核心素养偏低，难以适应今后职业岗位需求的现状，我们建立了以培养学生核心素养为目标的职业生涯教育体系。即根据学生职业岗位所需具备的各种能力要求，设计开发校本课程，对原有教育内容进行了必要的调整和补充，以心理健康教育为保障，全方位对学生开展教育活动，使他们成为合格的实用人才。</w:t>
      </w:r>
    </w:p>
    <w:p>
      <w:pPr>
        <w:pStyle w:val="3"/>
        <w:spacing w:line="440" w:lineRule="exact"/>
      </w:pPr>
      <w:bookmarkStart w:id="64" w:name="_Toc1172"/>
      <w:bookmarkStart w:id="65" w:name="_Toc29074"/>
      <w:r>
        <w:rPr>
          <w:rFonts w:hint="eastAsia"/>
        </w:rPr>
        <w:t>案例二：全面推行生活即教育理念，培养学生的良好习惯</w:t>
      </w:r>
      <w:bookmarkEnd w:id="64"/>
    </w:p>
    <w:bookmarkEnd w:id="65"/>
    <w:p>
      <w:pPr>
        <w:spacing w:line="440" w:lineRule="exact"/>
        <w:ind w:firstLine="480" w:firstLineChars="200"/>
      </w:pPr>
      <w:r>
        <w:rPr>
          <w:rFonts w:hint="eastAsia"/>
        </w:rPr>
        <w:t>现在的学生普遍具有“三多两不会”的特点，“三多”即独生子女多、单亲家庭多、染上坏习气养成坏习惯的多；“两不会”即不会打理生活、不会规划未来。针对这些问题，我们从培养合格就业者的实际出发，在学生的学习、生活、劳动等多个方面都把陶公“生活即教育”的理念融入其中，让学生从老师的身上既学到专业知识、动手能力，也学到诸如洗衣服、叠被子、清扫卫生以及科学合理安排生活费的方法和技巧，从而帮助学生在劳动中学会了许多、改变了许多，为今后走向职场并顺利成长打下了基础。</w:t>
      </w:r>
    </w:p>
    <w:p>
      <w:pPr>
        <w:pStyle w:val="2"/>
        <w:spacing w:line="440" w:lineRule="exact"/>
        <w:rPr>
          <w:rFonts w:ascii="黑体" w:hAnsi="黑体" w:cs="黑体"/>
        </w:rPr>
      </w:pPr>
      <w:bookmarkStart w:id="66" w:name="_Toc10985"/>
      <w:r>
        <w:rPr>
          <w:rFonts w:hint="eastAsia" w:ascii="黑体" w:hAnsi="黑体" w:cs="黑体"/>
        </w:rPr>
        <w:t>8.</w:t>
      </w:r>
      <w:bookmarkStart w:id="67" w:name="_Toc32183"/>
      <w:bookmarkStart w:id="68" w:name="_Toc6758"/>
      <w:r>
        <w:rPr>
          <w:rFonts w:hint="eastAsia" w:ascii="黑体" w:hAnsi="黑体" w:cs="黑体"/>
        </w:rPr>
        <w:t>主要问题和改进措施</w:t>
      </w:r>
      <w:bookmarkEnd w:id="66"/>
      <w:bookmarkEnd w:id="67"/>
      <w:bookmarkEnd w:id="68"/>
    </w:p>
    <w:p>
      <w:pPr>
        <w:pStyle w:val="3"/>
        <w:spacing w:line="440" w:lineRule="exact"/>
        <w:rPr>
          <w:rFonts w:ascii="黑体" w:hAnsi="黑体" w:cs="黑体"/>
        </w:rPr>
      </w:pPr>
      <w:bookmarkStart w:id="69" w:name="_Toc5066"/>
      <w:r>
        <w:rPr>
          <w:rFonts w:hint="eastAsia" w:ascii="黑体" w:hAnsi="黑体" w:cs="黑体"/>
        </w:rPr>
        <w:t>8.1、目前学校存在的问题：招生难、教学难、管理难</w:t>
      </w:r>
      <w:bookmarkEnd w:id="69"/>
    </w:p>
    <w:p>
      <w:pPr>
        <w:spacing w:line="440" w:lineRule="exact"/>
        <w:ind w:firstLine="480" w:firstLineChars="200"/>
      </w:pPr>
      <w:r>
        <w:rPr>
          <w:rFonts w:hint="eastAsia"/>
        </w:rPr>
        <w:t>目前，种种因素导致民办学校和公办学校依然不是在同等的平台上竞争。我们虽然有招生自主权，但是只能招到公办学校不要的且大多是高考成绩较差的学生。这些学生普遍不爱学习，离异家庭的比例也较大，即使不是离异家庭，父母的教育也存在较大问题。因此，学校的制度化管理与德育教育、校风学风建设难度就非常的大。</w:t>
      </w:r>
    </w:p>
    <w:p>
      <w:pPr>
        <w:pStyle w:val="3"/>
        <w:spacing w:line="440" w:lineRule="exact"/>
        <w:rPr>
          <w:rFonts w:ascii="黑体" w:hAnsi="黑体" w:cs="黑体"/>
        </w:rPr>
      </w:pPr>
      <w:bookmarkStart w:id="70" w:name="_Toc29176"/>
      <w:r>
        <w:rPr>
          <w:rFonts w:hint="eastAsia" w:ascii="黑体" w:hAnsi="黑体" w:cs="黑体"/>
        </w:rPr>
        <w:t>8.2、改进措施</w:t>
      </w:r>
      <w:bookmarkEnd w:id="70"/>
    </w:p>
    <w:p>
      <w:pPr>
        <w:spacing w:line="440" w:lineRule="exact"/>
        <w:ind w:firstLine="480" w:firstLineChars="200"/>
        <w:jc w:val="left"/>
        <w:rPr>
          <w:rFonts w:asciiTheme="minorEastAsia" w:hAnsiTheme="minorEastAsia" w:eastAsiaTheme="minorEastAsia" w:cstheme="minorEastAsia"/>
          <w:color w:val="333333"/>
        </w:rPr>
      </w:pPr>
      <w:r>
        <w:rPr>
          <w:rFonts w:hint="eastAsia" w:asciiTheme="minorEastAsia" w:hAnsiTheme="minorEastAsia" w:eastAsiaTheme="minorEastAsia" w:cstheme="minorEastAsia"/>
        </w:rPr>
        <w:t>立足地方经济发展趋势，加强沟通联系，积极争取企业支持，走企业、学校合作双赢的办学路子。依托行业，引进行业指导，安排已实习就业学生与优秀毕业生到校为全体师生讲公开课，为学生树立职业目标与职业理想，并通过开展丰富多彩的教学活动让学生激发学习兴趣，在提高教育教学质量的前提条件下加强口碑宣传，多挖招生渠道，从而有效促动招生量的增长，继而带动校内效益的增长。</w:t>
      </w:r>
      <w:r>
        <w:rPr>
          <w:rFonts w:hint="eastAsia" w:asciiTheme="minorEastAsia" w:hAnsiTheme="minorEastAsia" w:eastAsiaTheme="minorEastAsia" w:cstheme="minorEastAsia"/>
          <w:b/>
          <w:color w:val="333333"/>
        </w:rPr>
        <w:t xml:space="preserve">　 </w:t>
      </w:r>
    </w:p>
    <w:p>
      <w:pPr>
        <w:spacing w:line="440" w:lineRule="exact"/>
        <w:jc w:val="right"/>
        <w:rPr>
          <w:color w:val="333333"/>
          <w:szCs w:val="28"/>
        </w:rPr>
      </w:pPr>
      <w:r>
        <w:rPr>
          <w:rFonts w:hint="eastAsia"/>
          <w:color w:val="333333"/>
          <w:szCs w:val="28"/>
        </w:rPr>
        <w:t>　</w:t>
      </w:r>
      <w:r>
        <w:rPr>
          <w:rFonts w:hint="eastAsia"/>
          <w:b/>
          <w:color w:val="333333"/>
          <w:szCs w:val="28"/>
        </w:rPr>
        <w:t>　</w:t>
      </w:r>
      <w:r>
        <w:rPr>
          <w:rFonts w:hint="eastAsia"/>
          <w:color w:val="333333"/>
          <w:szCs w:val="28"/>
        </w:rPr>
        <w:t xml:space="preserve">                          </w:t>
      </w:r>
    </w:p>
    <w:p>
      <w:pPr>
        <w:spacing w:line="440" w:lineRule="exact"/>
        <w:jc w:val="right"/>
        <w:rPr>
          <w:color w:val="333333"/>
          <w:szCs w:val="28"/>
        </w:rPr>
      </w:pPr>
      <w:r>
        <w:rPr>
          <w:rFonts w:hint="eastAsia"/>
          <w:color w:val="333333"/>
          <w:szCs w:val="28"/>
        </w:rPr>
        <w:t xml:space="preserve"> </w:t>
      </w:r>
    </w:p>
    <w:p>
      <w:pPr>
        <w:spacing w:line="440" w:lineRule="exact"/>
        <w:jc w:val="right"/>
        <w:rPr>
          <w:color w:val="333333"/>
          <w:szCs w:val="28"/>
        </w:rPr>
      </w:pPr>
    </w:p>
    <w:p>
      <w:pPr>
        <w:spacing w:line="440" w:lineRule="exact"/>
        <w:jc w:val="right"/>
        <w:rPr>
          <w:rFonts w:asciiTheme="minorEastAsia" w:hAnsiTheme="minorEastAsia" w:eastAsiaTheme="minorEastAsia" w:cstheme="minorEastAsia"/>
          <w:b/>
          <w:bCs/>
        </w:rPr>
      </w:pPr>
      <w:r>
        <w:rPr>
          <w:rFonts w:hint="eastAsia" w:asciiTheme="minorEastAsia" w:hAnsiTheme="minorEastAsia" w:eastAsiaTheme="minorEastAsia" w:cstheme="minorEastAsia"/>
          <w:b/>
          <w:bCs/>
        </w:rPr>
        <w:t>内蒙古杨氏中等职业学校</w:t>
      </w:r>
    </w:p>
    <w:p>
      <w:pPr>
        <w:spacing w:line="440" w:lineRule="exact"/>
        <w:jc w:val="center"/>
        <w:rPr>
          <w:b/>
          <w:bCs/>
        </w:rPr>
      </w:pPr>
      <w:r>
        <w:rPr>
          <w:rFonts w:hint="eastAsia" w:asciiTheme="minorEastAsia" w:hAnsiTheme="minorEastAsia" w:eastAsiaTheme="minorEastAsia" w:cstheme="minorEastAsia"/>
          <w:b/>
          <w:bCs/>
        </w:rPr>
        <w:t xml:space="preserve">                                                     20</w:t>
      </w:r>
      <w:r>
        <w:rPr>
          <w:rFonts w:hint="eastAsia" w:asciiTheme="minorEastAsia" w:hAnsiTheme="minorEastAsia" w:eastAsiaTheme="minorEastAsia" w:cstheme="minorEastAsia"/>
          <w:b/>
          <w:bCs/>
          <w:lang w:val="en-US" w:eastAsia="zh-CN"/>
        </w:rPr>
        <w:t>20</w:t>
      </w:r>
      <w:r>
        <w:rPr>
          <w:rFonts w:hint="eastAsia" w:asciiTheme="minorEastAsia" w:hAnsiTheme="minorEastAsia" w:eastAsiaTheme="minorEastAsia" w:cstheme="minorEastAsia"/>
          <w:b/>
          <w:bCs/>
        </w:rPr>
        <w:t>年</w:t>
      </w:r>
      <w:r>
        <w:rPr>
          <w:rFonts w:hint="eastAsia" w:asciiTheme="minorEastAsia" w:hAnsiTheme="minorEastAsia" w:eastAsiaTheme="minorEastAsia" w:cstheme="minorEastAsia"/>
          <w:b/>
          <w:bCs/>
          <w:lang w:val="en-US" w:eastAsia="zh-CN"/>
        </w:rPr>
        <w:t>3</w:t>
      </w:r>
      <w:r>
        <w:rPr>
          <w:rFonts w:hint="eastAsia" w:asciiTheme="minorEastAsia" w:hAnsiTheme="minorEastAsia" w:eastAsiaTheme="minorEastAsia" w:cstheme="minorEastAsia"/>
          <w:b/>
          <w:bCs/>
        </w:rPr>
        <w:t>月</w:t>
      </w:r>
      <w:r>
        <w:rPr>
          <w:rFonts w:hint="eastAsia" w:asciiTheme="minorEastAsia" w:hAnsiTheme="minorEastAsia" w:eastAsiaTheme="minorEastAsia" w:cstheme="minorEastAsia"/>
          <w:b/>
          <w:bCs/>
          <w:lang w:val="en-US" w:eastAsia="zh-CN"/>
        </w:rPr>
        <w:t>13</w:t>
      </w:r>
      <w:r>
        <w:rPr>
          <w:rFonts w:hint="eastAsia" w:asciiTheme="minorEastAsia" w:hAnsiTheme="minorEastAsia" w:eastAsiaTheme="minorEastAsia" w:cstheme="minorEastAsia"/>
          <w:b/>
          <w:bCs/>
        </w:rPr>
        <w:t xml:space="preserve">日   </w:t>
      </w:r>
      <w:r>
        <w:rPr>
          <w:rFonts w:hint="eastAsia"/>
          <w:b/>
          <w:bCs/>
        </w:rPr>
        <w:t xml:space="preserve"> </w:t>
      </w:r>
    </w:p>
    <w:p>
      <w:r>
        <w:rPr>
          <w:rFonts w:hint="eastAsia"/>
        </w:rPr>
        <w:t xml:space="preserve"> </w:t>
      </w:r>
    </w:p>
    <w:sectPr>
      <w:footerReference r:id="rId6" w:type="default"/>
      <w:pgSz w:w="11906" w:h="16838"/>
      <w:pgMar w:top="1701" w:right="1417" w:bottom="1417"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 w:val="clear" w:pos="8306"/>
      </w:tabs>
    </w:pPr>
    <w:r>
      <w:pict>
        <v:shape id="_x0000_s2051" o:spid="_x0000_s2051" o:spt="202" type="#_x0000_t202" style="position:absolute;left:0pt;margin-left:438.7pt;margin-top:0pt;height:144pt;width:144pt;mso-position-horizontal-relative:margin;mso-wrap-style:none;z-index:251658240;mso-width-relative:page;mso-height-relative:page;" filled="f" stroked="f" coordsize="21600,21600" o:gfxdata="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KZYEfWAAAACQEAAA8AAAAAAAAA&#10;AQAgAAAAIgAAAGRycy9kb3ducmV2LnhtbFBLAQIUABQAAAAIAIdO4kAF3HKwEwIAABMEAAAOAAAA&#10;AAAAAAEAIAAAACUBAABkcnMvZTJvRG9jLnhtbFBLBQYAAAAABgAGAFkBAACqBQAAAAA=&#10;">
          <v:path/>
          <v:fill on="f" focussize="0,0"/>
          <v:stroke on="f" weight="0.5pt" joinstyle="miter"/>
          <v:imagedata o:title=""/>
          <o:lock v:ext="edit"/>
          <v:textbox inset="0mm,0mm,0mm,0mm" style="mso-fit-shape-to-text:t;">
            <w:txbxContent>
              <w:p>
                <w:pPr>
                  <w:pStyle w:val="7"/>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 w:val="clear" w:pos="8306"/>
      </w:tabs>
    </w:pPr>
    <w:r>
      <w:pict>
        <v:shape id="_x0000_s2049" o:spid="_x0000_s2049" o:spt="202" type="#_x0000_t202" style="position:absolute;left:0pt;margin-left:438.7pt;margin-top:0pt;height:144pt;width:144pt;mso-position-horizontal-relative:margin;mso-wrap-style:none;z-index:251659264;mso-width-relative:page;mso-height-relative:page;" filled="f" stroked="f" coordsize="21600,21600" o:gfxdata="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mWBH1gAAAAkBAAAPAAAAAAAA&#10;AAEAIAAAACIAAABkcnMvZG93bnJldi54bWxQSwECFAAUAAAACACHTuJAXtCZFRQCAAATBAAADgAA&#10;AAAAAAABACAAAAAlAQAAZHJzL2Uyb0RvYy54bWxQSwUGAAAAAAYABgBZAQAAqwUAAAAA&#10;">
          <v:path/>
          <v:fill on="f" focussize="0,0"/>
          <v:stroke on="f" weight="0.5pt" joinstyle="miter"/>
          <v:imagedata o:title=""/>
          <o:lock v:ext="edit"/>
          <v:textbox inset="0mm,0mm,0mm,0mm" style="mso-fit-shape-to-text:t;">
            <w:txbxContent>
              <w:p>
                <w:pPr>
                  <w:pStyle w:val="7"/>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 w:val="clear" w:pos="8306"/>
      </w:tabs>
    </w:pPr>
    <w:r>
      <w:pict>
        <v:shape id="_x0000_s2053" o:spid="_x0000_s2053"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11</w:t>
                </w:r>
                <w:r>
                  <w:rPr>
                    <w:rFonts w:hint="eastAsia" w:asciiTheme="minorEastAsia" w:hAnsiTheme="minorEastAsia" w:eastAsiaTheme="minorEastAsia" w:cstheme="minorEastAsia"/>
                    <w:sz w:val="24"/>
                  </w:rPr>
                  <w:fldChar w:fldCharType="end"/>
                </w:r>
              </w:p>
            </w:txbxContent>
          </v:textbox>
        </v:shape>
      </w:pict>
    </w:r>
    <w:r>
      <w:pict>
        <v:shape id="_x0000_s2052" o:spid="_x0000_s2052" o:spt="202" type="#_x0000_t202" style="position:absolute;left:0pt;margin-left:438.7pt;margin-top:0pt;height:144pt;width:144pt;mso-position-horizontal-relative:margin;mso-wrap-style:none;z-index:251661312;mso-width-relative:page;mso-height-relative:page;" filled="f" stroked="f" coordsize="21600,21600" o:gfxdata="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imWBH1gAAAAkBAAAPAAAAAAAA&#10;AAEAIAAAACIAAABkcnMvZG93bnJldi54bWxQSwECFAAUAAAACACHTuJAXtCZFRQCAAATBAAADgAA&#10;AAAAAAABACAAAAAlAQAAZHJzL2Uyb0RvYy54bWxQSwUGAAAAAAYABgBZAQAAqwUAAAAA&#10;">
          <v:path/>
          <v:fill on="f" focussize="0,0"/>
          <v:stroke on="f" weight="0.5pt" joinstyle="miter"/>
          <v:imagedata o:title=""/>
          <o:lock v:ext="edit"/>
          <v:textbox inset="0mm,0mm,0mm,0mm" style="mso-fit-shape-to-text:t;">
            <w:txbxContent>
              <w:p>
                <w:pPr>
                  <w:pStyle w:val="7"/>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59C6"/>
    <w:multiLevelType w:val="multilevel"/>
    <w:tmpl w:val="59ED59C6"/>
    <w:lvl w:ilvl="0" w:tentative="0">
      <w:start w:val="1"/>
      <w:numFmt w:val="decimal"/>
      <w:lvlText w:val="%1."/>
      <w:lvlJc w:val="left"/>
      <w:pPr>
        <w:ind w:left="425" w:hanging="425"/>
      </w:pPr>
      <w:rPr>
        <w:rFonts w:hint="default"/>
      </w:rPr>
    </w:lvl>
    <w:lvl w:ilvl="1" w:tentative="0">
      <w:start w:val="1"/>
      <w:numFmt w:val="decimal"/>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1">
    <w:nsid w:val="59EFF27C"/>
    <w:multiLevelType w:val="singleLevel"/>
    <w:tmpl w:val="59EFF27C"/>
    <w:lvl w:ilvl="0" w:tentative="0">
      <w:start w:val="3"/>
      <w:numFmt w:val="decimal"/>
      <w:lvlText w:val="%1."/>
      <w:lvlJc w:val="left"/>
      <w:pPr>
        <w:tabs>
          <w:tab w:val="left" w:pos="312"/>
        </w:tabs>
      </w:pPr>
    </w:lvl>
  </w:abstractNum>
  <w:abstractNum w:abstractNumId="2">
    <w:nsid w:val="59F19E41"/>
    <w:multiLevelType w:val="singleLevel"/>
    <w:tmpl w:val="59F19E41"/>
    <w:lvl w:ilvl="0" w:tentative="0">
      <w:start w:val="1"/>
      <w:numFmt w:val="decimal"/>
      <w:suff w:val="space"/>
      <w:lvlText w:val="%1．"/>
      <w:lvlJc w:val="left"/>
    </w:lvl>
  </w:abstractNum>
  <w:abstractNum w:abstractNumId="3">
    <w:nsid w:val="59F3DD39"/>
    <w:multiLevelType w:val="singleLevel"/>
    <w:tmpl w:val="59F3DD39"/>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A943B7F"/>
    <w:rsid w:val="00133FE2"/>
    <w:rsid w:val="001B448F"/>
    <w:rsid w:val="002150A4"/>
    <w:rsid w:val="002D1DE1"/>
    <w:rsid w:val="00357743"/>
    <w:rsid w:val="005D294A"/>
    <w:rsid w:val="00694C04"/>
    <w:rsid w:val="00700219"/>
    <w:rsid w:val="007927B3"/>
    <w:rsid w:val="00913BAE"/>
    <w:rsid w:val="0099589E"/>
    <w:rsid w:val="00A75D91"/>
    <w:rsid w:val="00B12119"/>
    <w:rsid w:val="00C5642B"/>
    <w:rsid w:val="00DB172F"/>
    <w:rsid w:val="00DE5A88"/>
    <w:rsid w:val="00EB7EF5"/>
    <w:rsid w:val="00FA4282"/>
    <w:rsid w:val="01B22A40"/>
    <w:rsid w:val="020A3563"/>
    <w:rsid w:val="039131D0"/>
    <w:rsid w:val="043C1BEF"/>
    <w:rsid w:val="06BC3292"/>
    <w:rsid w:val="07697A0D"/>
    <w:rsid w:val="085C3FB2"/>
    <w:rsid w:val="093210FC"/>
    <w:rsid w:val="09527D90"/>
    <w:rsid w:val="0B071479"/>
    <w:rsid w:val="0D1D5945"/>
    <w:rsid w:val="0D3C2451"/>
    <w:rsid w:val="0DD67046"/>
    <w:rsid w:val="0E630855"/>
    <w:rsid w:val="0F1C0BF2"/>
    <w:rsid w:val="0F717DFB"/>
    <w:rsid w:val="104C5664"/>
    <w:rsid w:val="107C2AEA"/>
    <w:rsid w:val="10C5690E"/>
    <w:rsid w:val="10CD5300"/>
    <w:rsid w:val="116725C1"/>
    <w:rsid w:val="119C699E"/>
    <w:rsid w:val="132161BD"/>
    <w:rsid w:val="13617479"/>
    <w:rsid w:val="14810D64"/>
    <w:rsid w:val="14FD61A7"/>
    <w:rsid w:val="175C7731"/>
    <w:rsid w:val="17751C50"/>
    <w:rsid w:val="17F569FC"/>
    <w:rsid w:val="181C2506"/>
    <w:rsid w:val="185713F3"/>
    <w:rsid w:val="18AA3F68"/>
    <w:rsid w:val="1B1062B3"/>
    <w:rsid w:val="1B5226BE"/>
    <w:rsid w:val="1C4D48FF"/>
    <w:rsid w:val="1D03332E"/>
    <w:rsid w:val="1D1E5092"/>
    <w:rsid w:val="1D6913C1"/>
    <w:rsid w:val="1D7820BB"/>
    <w:rsid w:val="1DA02BA8"/>
    <w:rsid w:val="1E343193"/>
    <w:rsid w:val="20861C0E"/>
    <w:rsid w:val="20A061A3"/>
    <w:rsid w:val="21434A14"/>
    <w:rsid w:val="22372A5F"/>
    <w:rsid w:val="226D67DE"/>
    <w:rsid w:val="22E27CF3"/>
    <w:rsid w:val="23727478"/>
    <w:rsid w:val="243E1EC3"/>
    <w:rsid w:val="24CA6E3E"/>
    <w:rsid w:val="24F42E96"/>
    <w:rsid w:val="25442747"/>
    <w:rsid w:val="2704397D"/>
    <w:rsid w:val="282E7AB8"/>
    <w:rsid w:val="283D4B58"/>
    <w:rsid w:val="28411527"/>
    <w:rsid w:val="29BD18DC"/>
    <w:rsid w:val="29E54BD3"/>
    <w:rsid w:val="2A0A4FBD"/>
    <w:rsid w:val="2A5503D3"/>
    <w:rsid w:val="2BBF733C"/>
    <w:rsid w:val="2BD91890"/>
    <w:rsid w:val="2BF86F43"/>
    <w:rsid w:val="2C3446DB"/>
    <w:rsid w:val="2EC27427"/>
    <w:rsid w:val="2F517867"/>
    <w:rsid w:val="2FB419A5"/>
    <w:rsid w:val="2FDF6658"/>
    <w:rsid w:val="313C1A3D"/>
    <w:rsid w:val="31E7604F"/>
    <w:rsid w:val="33160315"/>
    <w:rsid w:val="3395229C"/>
    <w:rsid w:val="3496440F"/>
    <w:rsid w:val="359E7A42"/>
    <w:rsid w:val="36191F4B"/>
    <w:rsid w:val="36716F2B"/>
    <w:rsid w:val="36847C50"/>
    <w:rsid w:val="36F85487"/>
    <w:rsid w:val="37755145"/>
    <w:rsid w:val="385F0127"/>
    <w:rsid w:val="393B13F9"/>
    <w:rsid w:val="39D2512D"/>
    <w:rsid w:val="3A4E34D3"/>
    <w:rsid w:val="3A6245D1"/>
    <w:rsid w:val="3A943B7F"/>
    <w:rsid w:val="3ACB07A0"/>
    <w:rsid w:val="3B842855"/>
    <w:rsid w:val="3C832F86"/>
    <w:rsid w:val="3D116D8B"/>
    <w:rsid w:val="3D1D10D6"/>
    <w:rsid w:val="3E834D19"/>
    <w:rsid w:val="3EFA4042"/>
    <w:rsid w:val="3F2919DC"/>
    <w:rsid w:val="3FD441F1"/>
    <w:rsid w:val="3FF40CA7"/>
    <w:rsid w:val="414E00ED"/>
    <w:rsid w:val="415F215E"/>
    <w:rsid w:val="42661E67"/>
    <w:rsid w:val="428D5AB2"/>
    <w:rsid w:val="43B16606"/>
    <w:rsid w:val="44093318"/>
    <w:rsid w:val="44833E72"/>
    <w:rsid w:val="44FE4D4C"/>
    <w:rsid w:val="48935C86"/>
    <w:rsid w:val="48E165D5"/>
    <w:rsid w:val="498C593B"/>
    <w:rsid w:val="4A4654FA"/>
    <w:rsid w:val="4ADF5D8E"/>
    <w:rsid w:val="4B6A1FFA"/>
    <w:rsid w:val="4B7065FD"/>
    <w:rsid w:val="4BC560F9"/>
    <w:rsid w:val="4C0E2705"/>
    <w:rsid w:val="4C623E5E"/>
    <w:rsid w:val="4CDB4E4A"/>
    <w:rsid w:val="4D56223E"/>
    <w:rsid w:val="4D5B2368"/>
    <w:rsid w:val="4DBB630C"/>
    <w:rsid w:val="4DDE3CC0"/>
    <w:rsid w:val="4E0C4CDF"/>
    <w:rsid w:val="4E3A0E77"/>
    <w:rsid w:val="4F03559F"/>
    <w:rsid w:val="4F406B44"/>
    <w:rsid w:val="4F6118DF"/>
    <w:rsid w:val="50AF588E"/>
    <w:rsid w:val="50BA6B6C"/>
    <w:rsid w:val="51E163E3"/>
    <w:rsid w:val="53042A95"/>
    <w:rsid w:val="53702E47"/>
    <w:rsid w:val="538658FD"/>
    <w:rsid w:val="55E770FF"/>
    <w:rsid w:val="5654373F"/>
    <w:rsid w:val="56A2533F"/>
    <w:rsid w:val="587B2F02"/>
    <w:rsid w:val="5979571B"/>
    <w:rsid w:val="599152A6"/>
    <w:rsid w:val="59CB227D"/>
    <w:rsid w:val="5A3109A3"/>
    <w:rsid w:val="5A982AAC"/>
    <w:rsid w:val="5BFF4191"/>
    <w:rsid w:val="5D3F48E3"/>
    <w:rsid w:val="5DEC026E"/>
    <w:rsid w:val="5DFF1BCE"/>
    <w:rsid w:val="5E4E2448"/>
    <w:rsid w:val="5F686B22"/>
    <w:rsid w:val="5F951405"/>
    <w:rsid w:val="60A4336E"/>
    <w:rsid w:val="61035C6D"/>
    <w:rsid w:val="617E7300"/>
    <w:rsid w:val="625B74F0"/>
    <w:rsid w:val="62A009DA"/>
    <w:rsid w:val="62A303A3"/>
    <w:rsid w:val="62F64203"/>
    <w:rsid w:val="63117300"/>
    <w:rsid w:val="639156C2"/>
    <w:rsid w:val="649C5D79"/>
    <w:rsid w:val="65151D9A"/>
    <w:rsid w:val="65F06BE7"/>
    <w:rsid w:val="67A97F7A"/>
    <w:rsid w:val="68BB6E97"/>
    <w:rsid w:val="68BD2041"/>
    <w:rsid w:val="69271A62"/>
    <w:rsid w:val="6B98644D"/>
    <w:rsid w:val="6CAD52A1"/>
    <w:rsid w:val="6CD955A4"/>
    <w:rsid w:val="6E210CFC"/>
    <w:rsid w:val="6EDC18F6"/>
    <w:rsid w:val="70874F20"/>
    <w:rsid w:val="70B7301E"/>
    <w:rsid w:val="70CF1EBC"/>
    <w:rsid w:val="71B11420"/>
    <w:rsid w:val="71DD411B"/>
    <w:rsid w:val="72281DC8"/>
    <w:rsid w:val="72D9503A"/>
    <w:rsid w:val="742546EF"/>
    <w:rsid w:val="74314624"/>
    <w:rsid w:val="74532E12"/>
    <w:rsid w:val="74546EAF"/>
    <w:rsid w:val="760E23FC"/>
    <w:rsid w:val="76E32885"/>
    <w:rsid w:val="77585E14"/>
    <w:rsid w:val="77E3553E"/>
    <w:rsid w:val="78D3453D"/>
    <w:rsid w:val="79A60CCE"/>
    <w:rsid w:val="79CA17C0"/>
    <w:rsid w:val="7A1E0EDE"/>
    <w:rsid w:val="7A6306B9"/>
    <w:rsid w:val="7C1B30A2"/>
    <w:rsid w:val="7C63690A"/>
    <w:rsid w:val="7CDC5CC1"/>
    <w:rsid w:val="7D3F33CB"/>
    <w:rsid w:val="7E823DDD"/>
    <w:rsid w:val="7ECB074B"/>
    <w:rsid w:val="7FE90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kern w:val="2"/>
      <w:sz w:val="24"/>
      <w:szCs w:val="24"/>
      <w:lang w:val="en-US" w:eastAsia="zh-CN" w:bidi="ar-SA"/>
    </w:rPr>
  </w:style>
  <w:style w:type="paragraph" w:styleId="2">
    <w:name w:val="heading 1"/>
    <w:basedOn w:val="1"/>
    <w:next w:val="1"/>
    <w:link w:val="16"/>
    <w:qFormat/>
    <w:uiPriority w:val="0"/>
    <w:pPr>
      <w:keepNext/>
      <w:keepLines/>
      <w:spacing w:line="576" w:lineRule="auto"/>
      <w:outlineLvl w:val="0"/>
    </w:pPr>
    <w:rPr>
      <w:rFonts w:eastAsia="黑体"/>
      <w:b/>
      <w:kern w:val="44"/>
      <w:sz w:val="30"/>
    </w:rPr>
  </w:style>
  <w:style w:type="paragraph" w:styleId="3">
    <w:name w:val="heading 2"/>
    <w:basedOn w:val="1"/>
    <w:next w:val="1"/>
    <w:link w:val="17"/>
    <w:unhideWhenUsed/>
    <w:qFormat/>
    <w:uiPriority w:val="0"/>
    <w:pPr>
      <w:keepNext/>
      <w:keepLines/>
      <w:spacing w:line="413" w:lineRule="auto"/>
      <w:outlineLvl w:val="1"/>
    </w:pPr>
    <w:rPr>
      <w:rFonts w:ascii="Arial" w:hAnsi="Arial" w:eastAsia="黑体"/>
      <w:b/>
      <w:sz w:val="28"/>
    </w:rPr>
  </w:style>
  <w:style w:type="paragraph" w:styleId="4">
    <w:name w:val="heading 3"/>
    <w:basedOn w:val="1"/>
    <w:next w:val="1"/>
    <w:link w:val="18"/>
    <w:unhideWhenUsed/>
    <w:qFormat/>
    <w:uiPriority w:val="0"/>
    <w:pPr>
      <w:keepNext/>
      <w:keepLines/>
      <w:spacing w:line="413" w:lineRule="auto"/>
      <w:outlineLvl w:val="2"/>
    </w:pPr>
    <w:rPr>
      <w:rFonts w:eastAsia="黑体"/>
      <w:b/>
    </w:rPr>
  </w:style>
  <w:style w:type="character" w:default="1" w:styleId="12">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6">
    <w:name w:val="标题 1 Char"/>
    <w:link w:val="2"/>
    <w:qFormat/>
    <w:uiPriority w:val="0"/>
    <w:rPr>
      <w:rFonts w:eastAsia="黑体"/>
      <w:b/>
      <w:kern w:val="44"/>
      <w:sz w:val="30"/>
    </w:rPr>
  </w:style>
  <w:style w:type="character" w:customStyle="1" w:styleId="17">
    <w:name w:val="标题 2 Char"/>
    <w:link w:val="3"/>
    <w:qFormat/>
    <w:uiPriority w:val="0"/>
    <w:rPr>
      <w:rFonts w:ascii="Arial" w:hAnsi="Arial" w:eastAsia="黑体"/>
      <w:b/>
      <w:sz w:val="28"/>
    </w:rPr>
  </w:style>
  <w:style w:type="character" w:customStyle="1" w:styleId="18">
    <w:name w:val="标题 3 Char"/>
    <w:link w:val="4"/>
    <w:qFormat/>
    <w:uiPriority w:val="0"/>
    <w:rPr>
      <w:rFonts w:eastAsia="黑体"/>
      <w:b/>
      <w:sz w:val="24"/>
    </w:rPr>
  </w:style>
  <w:style w:type="character" w:customStyle="1" w:styleId="19">
    <w:name w:val="批注框文本 Char"/>
    <w:basedOn w:val="12"/>
    <w:link w:val="6"/>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b" anchorCtr="0"/>
          <a:lstStyle/>
          <a:p>
            <a:pPr defTabSz="914400">
              <a:defRPr lang="zh-CN" sz="1050" b="1" i="0" u="none" strike="noStrike" kern="1200" spc="0" baseline="0">
                <a:solidFill>
                  <a:schemeClr val="tx1">
                    <a:lumMod val="65000"/>
                    <a:lumOff val="35000"/>
                  </a:schemeClr>
                </a:solidFill>
                <a:latin typeface="+mn-lt"/>
                <a:ea typeface="+mn-ea"/>
                <a:cs typeface="+mn-cs"/>
              </a:defRPr>
            </a:pPr>
            <a:r>
              <a:rPr lang="zh-CN" altLang="en-US" sz="1050" b="1">
                <a:solidFill>
                  <a:sysClr val="windowText" lastClr="000000"/>
                </a:solidFill>
              </a:rPr>
              <a:t>图表</a:t>
            </a:r>
            <a:r>
              <a:rPr lang="en-US" altLang="zh-CN" sz="1050" b="1">
                <a:solidFill>
                  <a:sysClr val="windowText" lastClr="000000"/>
                </a:solidFill>
              </a:rPr>
              <a:t>1.1  </a:t>
            </a:r>
            <a:r>
              <a:rPr lang="zh-CN" altLang="en-US" sz="1050" b="1">
                <a:solidFill>
                  <a:sysClr val="windowText" lastClr="000000"/>
                </a:solidFill>
              </a:rPr>
              <a:t>学校面积图</a:t>
            </a:r>
            <a:endParaRPr lang="zh-CN" altLang="en-US" sz="1050" b="1">
              <a:solidFill>
                <a:sysClr val="windowText" lastClr="000000"/>
              </a:solidFill>
            </a:endParaRPr>
          </a:p>
        </c:rich>
      </c:tx>
      <c:layout>
        <c:manualLayout>
          <c:xMode val="edge"/>
          <c:yMode val="edge"/>
          <c:x val="0.16073969998209"/>
          <c:y val="0.785923682014763"/>
        </c:manualLayout>
      </c:layout>
      <c:overlay val="0"/>
      <c:spPr>
        <a:noFill/>
        <a:ln>
          <a:noFill/>
        </a:ln>
        <a:effectLst/>
      </c:spPr>
    </c:title>
    <c:autoTitleDeleted val="0"/>
    <c:plotArea>
      <c:layout>
        <c:manualLayout>
          <c:layoutTarget val="inner"/>
          <c:xMode val="edge"/>
          <c:yMode val="edge"/>
          <c:x val="0.00973078170613039"/>
          <c:y val="0.00743310208126858"/>
          <c:w val="0.980538436587739"/>
          <c:h val="0.749008919722498"/>
        </c:manualLayout>
      </c:layout>
      <c:pieChart>
        <c:varyColors val="1"/>
        <c:ser>
          <c:idx val="0"/>
          <c:order val="0"/>
          <c:tx>
            <c:strRef>
              <c:f>Sheet1!$B$1</c:f>
              <c:strCache>
                <c:ptCount val="1"/>
                <c:pt idx="0">
                  <c:v>销售额</c:v>
                </c:pt>
              </c:strCache>
            </c:strRef>
          </c:tx>
          <c:spPr>
            <a:gradFill>
              <a:gsLst>
                <a:gs pos="0">
                  <a:srgbClr val="007BD3"/>
                </a:gs>
                <a:gs pos="100000">
                  <a:srgbClr val="034373"/>
                </a:gs>
              </a:gsLst>
              <a:lin ang="5400000" scaled="0"/>
            </a:gradFill>
          </c:spPr>
          <c:explosion val="0"/>
          <c:dPt>
            <c:idx val="0"/>
            <c:bubble3D val="0"/>
            <c:spPr>
              <a:gradFill>
                <a:gsLst>
                  <a:gs pos="0">
                    <a:srgbClr val="14CD68"/>
                  </a:gs>
                  <a:gs pos="100000">
                    <a:srgbClr val="0B6E38"/>
                  </a:gs>
                </a:gsLst>
                <a:lin ang="5400000" scaled="0"/>
              </a:gradFill>
              <a:ln w="19050">
                <a:solidFill>
                  <a:schemeClr val="lt1"/>
                </a:solidFill>
              </a:ln>
              <a:effectLst/>
            </c:spPr>
          </c:dPt>
          <c:dPt>
            <c:idx val="1"/>
            <c:bubble3D val="0"/>
            <c:spPr>
              <a:gradFill>
                <a:gsLst>
                  <a:gs pos="0">
                    <a:srgbClr val="FE4444"/>
                  </a:gs>
                  <a:gs pos="100000">
                    <a:srgbClr val="832B2B"/>
                  </a:gs>
                </a:gsLst>
                <a:lin ang="5400000" scaled="0"/>
              </a:gradFill>
              <a:ln w="19050">
                <a:solidFill>
                  <a:schemeClr val="lt1"/>
                </a:solidFill>
              </a:ln>
              <a:effectLst/>
            </c:spPr>
          </c:dPt>
          <c:dPt>
            <c:idx val="2"/>
            <c:bubble3D val="0"/>
            <c:spPr>
              <a:gradFill>
                <a:gsLst>
                  <a:gs pos="0">
                    <a:srgbClr val="007BD3"/>
                  </a:gs>
                  <a:gs pos="100000">
                    <a:srgbClr val="034373"/>
                  </a:gs>
                </a:gsLst>
                <a:lin ang="5400000" scaled="0"/>
              </a:gra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050" b="0" i="0" u="none" strike="noStrike" kern="1200" baseline="0">
                        <a:solidFill>
                          <a:schemeClr val="bg1"/>
                        </a:solidFill>
                        <a:latin typeface="+mn-lt"/>
                        <a:ea typeface="+mn-ea"/>
                        <a:cs typeface="+mn-cs"/>
                      </a:defRPr>
                    </a:pPr>
                    <a:r>
                      <a:rPr lang="zh-CN" altLang="en-US" sz="1050">
                        <a:solidFill>
                          <a:schemeClr val="bg1"/>
                        </a:solidFill>
                      </a:rPr>
                      <a:t>建筑面积</a:t>
                    </a:r>
                    <a:endParaRPr lang="zh-CN" altLang="en-US" sz="1050">
                      <a:solidFill>
                        <a:schemeClr val="bg1"/>
                      </a:solidFill>
                    </a:endParaRPr>
                  </a:p>
                  <a:p>
                    <a:pPr>
                      <a:defRPr lang="zh-CN" sz="1050" b="0" i="0" u="none" strike="noStrike" kern="1200" baseline="0">
                        <a:solidFill>
                          <a:schemeClr val="bg1"/>
                        </a:solidFill>
                        <a:latin typeface="+mn-lt"/>
                        <a:ea typeface="+mn-ea"/>
                        <a:cs typeface="+mn-cs"/>
                      </a:defRPr>
                    </a:pPr>
                    <a:r>
                      <a:rPr lang="en-US" altLang="zh-CN" sz="1050">
                        <a:solidFill>
                          <a:schemeClr val="bg1"/>
                        </a:solidFill>
                      </a:rPr>
                      <a:t>22%</a:t>
                    </a:r>
                    <a:endParaRPr lang="en-US" altLang="zh-CN" sz="1050">
                      <a:solidFill>
                        <a:schemeClr val="bg1"/>
                      </a:solidFill>
                    </a:endParaRPr>
                  </a:p>
                </c:rich>
              </c:tx>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427774076504897"/>
                  <c:y val="-0.178953336257439"/>
                </c:manualLayout>
              </c:layout>
              <c:tx>
                <c:rich>
                  <a:bodyPr rot="0" spcFirstLastPara="0" vertOverflow="ellipsis" vert="horz" wrap="square" lIns="38100" tIns="19050" rIns="38100" bIns="19050" anchor="ctr" anchorCtr="1"/>
                  <a:lstStyle/>
                  <a:p>
                    <a:pPr>
                      <a:defRPr lang="zh-CN" sz="1050" b="0" i="0" u="none" strike="noStrike" kern="1200" baseline="0">
                        <a:solidFill>
                          <a:schemeClr val="bg1"/>
                        </a:solidFill>
                        <a:latin typeface="+mn-lt"/>
                        <a:ea typeface="+mn-ea"/>
                        <a:cs typeface="+mn-cs"/>
                      </a:defRPr>
                    </a:pPr>
                    <a:r>
                      <a:rPr lang="zh-CN" altLang="en-US" sz="1050"/>
                      <a:t>校园操场等
</a:t>
                    </a:r>
                    <a:r>
                      <a:rPr lang="en-US" altLang="zh-CN" sz="1050"/>
                      <a:t>64%</a:t>
                    </a:r>
                    <a:endParaRPr lang="en-US" altLang="zh-CN" sz="1050"/>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76581252027246"/>
                      <c:h val="0.224762831427876"/>
                    </c:manualLayout>
                  </c15:layout>
                </c:ext>
              </c:extLst>
            </c:dLbl>
            <c:spPr>
              <a:noFill/>
              <a:ln>
                <a:noFill/>
              </a:ln>
              <a:effectLst/>
            </c:spPr>
            <c:txPr>
              <a:bodyPr rot="0" spcFirstLastPara="0" vertOverflow="ellipsis" vert="horz" wrap="square" lIns="38100" tIns="19050" rIns="38100" bIns="19050" anchor="ctr" anchorCtr="1"/>
              <a:lstStyle/>
              <a:p>
                <a:pPr>
                  <a:defRPr lang="zh-CN" sz="1050" b="0" i="0" u="none" strike="noStrike" kern="1200" baseline="0">
                    <a:solidFill>
                      <a:schemeClr val="bg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建筑面积</c:v>
                </c:pt>
                <c:pt idx="1">
                  <c:v>实训基地</c:v>
                </c:pt>
                <c:pt idx="2">
                  <c:v>校园操场等</c:v>
                </c:pt>
              </c:strCache>
            </c:strRef>
          </c:cat>
          <c:val>
            <c:numRef>
              <c:f>Sheet1!$B$2:$B$4</c:f>
              <c:numCache>
                <c:formatCode>General</c:formatCode>
                <c:ptCount val="3"/>
                <c:pt idx="0">
                  <c:v>1800</c:v>
                </c:pt>
                <c:pt idx="1">
                  <c:v>1100</c:v>
                </c:pt>
                <c:pt idx="2">
                  <c:v>5100</c:v>
                </c:pt>
              </c:numCache>
            </c:numRef>
          </c:val>
        </c:ser>
        <c:dLbls>
          <c:showLegendKey val="0"/>
          <c:showVal val="1"/>
          <c:showCatName val="0"/>
          <c:showSerName val="0"/>
          <c:showPercent val="0"/>
          <c:showBubbleSize val="0"/>
          <c:showLeaderLines val="1"/>
        </c:dLbls>
        <c:firstSliceAng val="0"/>
      </c:pieChart>
      <c:spPr>
        <a:noFill/>
        <a:ln w="12700" cmpd="sng">
          <a:solidFill>
            <a:schemeClr val="tx1">
              <a:lumMod val="15000"/>
              <a:lumOff val="85000"/>
            </a:schemeClr>
          </a:solidFill>
          <a:prstDash val="solid"/>
        </a:ln>
        <a:effectLst/>
      </c:spPr>
    </c:plotArea>
    <c:plotVisOnly val="1"/>
    <c:dispBlanksAs val="zero"/>
    <c:showDLblsOverMax val="0"/>
  </c:chart>
  <c:spPr>
    <a:solidFill>
      <a:schemeClr val="bg1"/>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857960472726753"/>
          <c:y val="0.0343996494303243"/>
          <c:w val="0.906147291539866"/>
          <c:h val="0.560094786729858"/>
        </c:manualLayout>
      </c:layout>
      <c:lineChart>
        <c:grouping val="standard"/>
        <c:varyColors val="0"/>
        <c:ser>
          <c:idx val="0"/>
          <c:order val="0"/>
          <c:tx>
            <c:strRef>
              <c:f>Sheet1!$B$1</c:f>
              <c:strCache>
                <c:ptCount val="1"/>
                <c:pt idx="0">
                  <c:v>2017年</c:v>
                </c:pt>
              </c:strCache>
            </c:strRef>
          </c:tx>
          <c:spPr>
            <a:ln w="22225" cap="rnd" cmpd="sng" algn="ctr">
              <a:solidFill>
                <a:srgbClr val="7030A0"/>
              </a:solidFill>
              <a:prstDash val="solid"/>
              <a:round/>
            </a:ln>
            <a:effectLst/>
          </c:spPr>
          <c:marker>
            <c:symbol val="none"/>
          </c:marker>
          <c:dLbls>
            <c:delete val="1"/>
          </c:dLbls>
          <c:cat>
            <c:strRef>
              <c:f>Sheet1!$A$2:$A$12</c:f>
              <c:strCache>
                <c:ptCount val="11"/>
                <c:pt idx="0">
                  <c:v>语文</c:v>
                </c:pt>
                <c:pt idx="1">
                  <c:v>英语</c:v>
                </c:pt>
                <c:pt idx="2">
                  <c:v>心理健康</c:v>
                </c:pt>
                <c:pt idx="3">
                  <c:v>法律基础</c:v>
                </c:pt>
                <c:pt idx="4">
                  <c:v>德育</c:v>
                </c:pt>
                <c:pt idx="5">
                  <c:v>服饰与造型</c:v>
                </c:pt>
                <c:pt idx="6">
                  <c:v>素描与色彩</c:v>
                </c:pt>
                <c:pt idx="7">
                  <c:v>企业管理</c:v>
                </c:pt>
                <c:pt idx="8">
                  <c:v>专业技能</c:v>
                </c:pt>
                <c:pt idx="9">
                  <c:v>体质测评</c:v>
                </c:pt>
                <c:pt idx="10">
                  <c:v>毕业率</c:v>
                </c:pt>
              </c:strCache>
            </c:strRef>
          </c:cat>
          <c:val>
            <c:numRef>
              <c:f>Sheet1!$B$2:$B$12</c:f>
              <c:numCache>
                <c:formatCode>0%</c:formatCode>
                <c:ptCount val="11"/>
                <c:pt idx="0">
                  <c:v>0.85</c:v>
                </c:pt>
                <c:pt idx="1">
                  <c:v>0.95</c:v>
                </c:pt>
                <c:pt idx="2">
                  <c:v>0.9</c:v>
                </c:pt>
                <c:pt idx="3">
                  <c:v>0.89</c:v>
                </c:pt>
                <c:pt idx="4">
                  <c:v>0.96</c:v>
                </c:pt>
                <c:pt idx="5">
                  <c:v>1</c:v>
                </c:pt>
                <c:pt idx="6">
                  <c:v>0.73</c:v>
                </c:pt>
                <c:pt idx="7">
                  <c:v>1</c:v>
                </c:pt>
                <c:pt idx="8">
                  <c:v>0.87</c:v>
                </c:pt>
                <c:pt idx="9">
                  <c:v>0.96</c:v>
                </c:pt>
                <c:pt idx="10">
                  <c:v>1</c:v>
                </c:pt>
              </c:numCache>
            </c:numRef>
          </c:val>
          <c:smooth val="0"/>
        </c:ser>
        <c:ser>
          <c:idx val="1"/>
          <c:order val="1"/>
          <c:tx>
            <c:strRef>
              <c:f>Sheet1!$C$1</c:f>
              <c:strCache>
                <c:ptCount val="1"/>
                <c:pt idx="0">
                  <c:v>2016年</c:v>
                </c:pt>
              </c:strCache>
            </c:strRef>
          </c:tx>
          <c:spPr>
            <a:ln w="22225" cap="rnd" cmpd="sng" algn="ctr">
              <a:solidFill>
                <a:srgbClr val="FF0000"/>
              </a:solidFill>
              <a:prstDash val="solid"/>
              <a:round/>
            </a:ln>
            <a:effectLst/>
          </c:spPr>
          <c:marker>
            <c:symbol val="none"/>
          </c:marker>
          <c:dLbls>
            <c:delete val="1"/>
          </c:dLbls>
          <c:cat>
            <c:strRef>
              <c:f>Sheet1!$A$2:$A$12</c:f>
              <c:strCache>
                <c:ptCount val="11"/>
                <c:pt idx="0">
                  <c:v>语文</c:v>
                </c:pt>
                <c:pt idx="1">
                  <c:v>英语</c:v>
                </c:pt>
                <c:pt idx="2">
                  <c:v>心理健康</c:v>
                </c:pt>
                <c:pt idx="3">
                  <c:v>法律基础</c:v>
                </c:pt>
                <c:pt idx="4">
                  <c:v>德育</c:v>
                </c:pt>
                <c:pt idx="5">
                  <c:v>服饰与造型</c:v>
                </c:pt>
                <c:pt idx="6">
                  <c:v>素描与色彩</c:v>
                </c:pt>
                <c:pt idx="7">
                  <c:v>企业管理</c:v>
                </c:pt>
                <c:pt idx="8">
                  <c:v>专业技能</c:v>
                </c:pt>
                <c:pt idx="9">
                  <c:v>体质测评</c:v>
                </c:pt>
                <c:pt idx="10">
                  <c:v>毕业率</c:v>
                </c:pt>
              </c:strCache>
            </c:strRef>
          </c:cat>
          <c:val>
            <c:numRef>
              <c:f>Sheet1!$C$2:$C$12</c:f>
              <c:numCache>
                <c:formatCode>0%</c:formatCode>
                <c:ptCount val="11"/>
                <c:pt idx="0">
                  <c:v>0.89</c:v>
                </c:pt>
                <c:pt idx="1">
                  <c:v>0.91</c:v>
                </c:pt>
                <c:pt idx="2">
                  <c:v>0.94</c:v>
                </c:pt>
                <c:pt idx="3">
                  <c:v>0.89</c:v>
                </c:pt>
                <c:pt idx="4">
                  <c:v>0.94</c:v>
                </c:pt>
                <c:pt idx="5">
                  <c:v>0.95</c:v>
                </c:pt>
                <c:pt idx="6">
                  <c:v>0.88</c:v>
                </c:pt>
                <c:pt idx="7">
                  <c:v>0.97</c:v>
                </c:pt>
                <c:pt idx="8">
                  <c:v>0.9</c:v>
                </c:pt>
                <c:pt idx="9">
                  <c:v>0.92</c:v>
                </c:pt>
                <c:pt idx="10">
                  <c:v>1</c:v>
                </c:pt>
              </c:numCache>
            </c:numRef>
          </c:val>
          <c:smooth val="0"/>
        </c:ser>
        <c:dLbls>
          <c:showLegendKey val="0"/>
          <c:showVal val="0"/>
          <c:showCatName val="0"/>
          <c:showSerName val="0"/>
          <c:showPercent val="0"/>
          <c:showBubbleSize val="0"/>
        </c:dLbls>
        <c:marker val="0"/>
        <c:smooth val="0"/>
        <c:axId val="819436832"/>
        <c:axId val="819437392"/>
      </c:lineChart>
      <c:catAx>
        <c:axId val="819436832"/>
        <c:scaling>
          <c:orientation val="minMax"/>
        </c:scaling>
        <c:delete val="0"/>
        <c:axPos val="b"/>
        <c:numFmt formatCode="General" sourceLinked="0"/>
        <c:majorTickMark val="out"/>
        <c:minorTickMark val="none"/>
        <c:tickLblPos val="nextTo"/>
        <c:spPr>
          <a:noFill/>
          <a:ln w="9525" cap="flat" cmpd="sng" algn="ctr">
            <a:noFill/>
            <a:prstDash val="solid"/>
            <a:round/>
          </a:ln>
          <a:effectLst/>
        </c:spPr>
        <c:txPr>
          <a:bodyPr rot="0" spcFirstLastPara="0" vertOverflow="ellipsis" vert="eaVert" wrap="square" anchor="ctr" anchorCtr="0"/>
          <a:lstStyle/>
          <a:p>
            <a:pPr>
              <a:defRPr lang="zh-CN" sz="1050" b="0" i="0" u="none" strike="noStrike" kern="1200" cap="none" spc="20" normalizeH="0" baseline="0">
                <a:solidFill>
                  <a:schemeClr val="tx1"/>
                </a:solidFill>
                <a:uFill>
                  <a:solidFill>
                    <a:schemeClr val="tx1">
                      <a:lumMod val="65000"/>
                      <a:lumOff val="35000"/>
                    </a:schemeClr>
                  </a:solidFill>
                </a:uFill>
                <a:latin typeface="宋体" panose="02010600030101010101" charset="-122"/>
                <a:ea typeface="宋体" panose="02010600030101010101" charset="-122"/>
                <a:cs typeface="+mn-cs"/>
              </a:defRPr>
            </a:pPr>
          </a:p>
        </c:txPr>
        <c:crossAx val="819437392"/>
        <c:crosses val="autoZero"/>
        <c:auto val="1"/>
        <c:lblAlgn val="ctr"/>
        <c:lblOffset val="100"/>
        <c:noMultiLvlLbl val="0"/>
      </c:catAx>
      <c:valAx>
        <c:axId val="819437392"/>
        <c:scaling>
          <c:orientation val="minMax"/>
        </c:scaling>
        <c:delete val="0"/>
        <c:axPos val="l"/>
        <c:majorGridlines/>
        <c:numFmt formatCode="0%" sourceLinked="1"/>
        <c:majorTickMark val="in"/>
        <c:minorTickMark val="none"/>
        <c:tickLblPos val="high"/>
        <c:txPr>
          <a:bodyPr rot="-6000000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crossAx val="819436832"/>
        <c:crosses val="autoZero"/>
        <c:crossBetween val="between"/>
      </c:valAx>
      <c:spPr>
        <a:pattFill prst="pct5">
          <a:fgClr>
            <a:schemeClr val="accent1"/>
          </a:fgClr>
          <a:bgClr>
            <a:schemeClr val="bg1"/>
          </a:bgClr>
        </a:pattFill>
        <a:ln>
          <a:noFill/>
        </a:ln>
        <a:effectLst/>
      </c:spPr>
    </c:plotArea>
    <c:legend>
      <c:legendPos val="r"/>
      <c:legendEntry>
        <c:idx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Entry>
      <c:layout>
        <c:manualLayout>
          <c:xMode val="edge"/>
          <c:yMode val="edge"/>
          <c:x val="0.0308943209546522"/>
          <c:y val="0.377488151658768"/>
        </c:manualLayout>
      </c:layout>
      <c:overlay val="0"/>
      <c:txPr>
        <a:bodyPr rot="0" spcFirstLastPara="0" vertOverflow="ellipsis" vert="horz" wrap="square" anchor="ctr" anchorCtr="1"/>
        <a:lstStyle/>
        <a:p>
          <a:pPr>
            <a:defRPr lang="zh-CN" sz="1050" b="0" i="0" u="none" strike="noStrike" kern="1200" baseline="0">
              <a:solidFill>
                <a:schemeClr val="tx1"/>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49"/>
    <customShpInfo spid="_x0000_s2053"/>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1855</Words>
  <Characters>10575</Characters>
  <Lines>88</Lines>
  <Paragraphs>24</Paragraphs>
  <ScaleCrop>false</ScaleCrop>
  <LinksUpToDate>false</LinksUpToDate>
  <CharactersWithSpaces>12406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2017-10-23T02:21:00Z</dcterms:created>
  <dc:creator>Administrator</dc:creator>
  <cp:lastModifiedBy>Administrator</cp:lastModifiedBy>
  <cp:lastPrinted>2017-10-28T02:50:00Z</cp:lastPrinted>
  <dcterms:modified xsi:type="dcterms:W3CDTF">2020-03-26T04:36:44Z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